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A2E" w:rsidRPr="005F28DB" w:rsidRDefault="00C37A2E" w:rsidP="00C37A2E">
      <w:pPr>
        <w:rPr>
          <w:rFonts w:ascii="Times New Roman" w:hAnsi="Times New Roman" w:cs="Times New Roman"/>
          <w:sz w:val="24"/>
          <w:szCs w:val="24"/>
        </w:rPr>
      </w:pPr>
      <w:r w:rsidRPr="005F28DB">
        <w:rPr>
          <w:rFonts w:ascii="Times New Roman" w:hAnsi="Times New Roman" w:cs="Times New Roman"/>
          <w:noProof/>
          <w:sz w:val="24"/>
          <w:szCs w:val="24"/>
          <w:lang w:val="en-US" w:eastAsia="en-US"/>
        </w:rPr>
        <w:drawing>
          <wp:anchor distT="0" distB="0" distL="114300" distR="114300" simplePos="0" relativeHeight="251662336" behindDoc="0" locked="0" layoutInCell="1" allowOverlap="1">
            <wp:simplePos x="0" y="0"/>
            <wp:positionH relativeFrom="margin">
              <wp:posOffset>4500245</wp:posOffset>
            </wp:positionH>
            <wp:positionV relativeFrom="margin">
              <wp:posOffset>-114300</wp:posOffset>
            </wp:positionV>
            <wp:extent cx="1256030" cy="1172845"/>
            <wp:effectExtent l="19050" t="0" r="1270" b="0"/>
            <wp:wrapSquare wrapText="bothSides"/>
            <wp:docPr id="8" name="Picture 7" descr="LogoBelemDoPara+20-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BelemDoPara+20-ES"/>
                    <pic:cNvPicPr>
                      <a:picLocks noChangeAspect="1" noChangeArrowheads="1"/>
                    </pic:cNvPicPr>
                  </pic:nvPicPr>
                  <pic:blipFill>
                    <a:blip r:embed="rId8" cstate="print"/>
                    <a:srcRect/>
                    <a:stretch>
                      <a:fillRect/>
                    </a:stretch>
                  </pic:blipFill>
                  <pic:spPr bwMode="auto">
                    <a:xfrm>
                      <a:off x="0" y="0"/>
                      <a:ext cx="1256030" cy="1172845"/>
                    </a:xfrm>
                    <a:prstGeom prst="rect">
                      <a:avLst/>
                    </a:prstGeom>
                    <a:noFill/>
                  </pic:spPr>
                </pic:pic>
              </a:graphicData>
            </a:graphic>
          </wp:anchor>
        </w:drawing>
      </w:r>
      <w:r w:rsidRPr="005F28DB">
        <w:rPr>
          <w:rFonts w:ascii="Times New Roman" w:hAnsi="Times New Roman" w:cs="Times New Roman"/>
          <w:noProof/>
          <w:sz w:val="24"/>
          <w:szCs w:val="24"/>
          <w:lang w:val="en-US" w:eastAsia="en-US"/>
        </w:rPr>
        <w:drawing>
          <wp:anchor distT="0" distB="0" distL="114300" distR="114300" simplePos="0" relativeHeight="251661312" behindDoc="1" locked="0" layoutInCell="1" allowOverlap="1">
            <wp:simplePos x="0" y="0"/>
            <wp:positionH relativeFrom="column">
              <wp:posOffset>2250440</wp:posOffset>
            </wp:positionH>
            <wp:positionV relativeFrom="paragraph">
              <wp:posOffset>-114300</wp:posOffset>
            </wp:positionV>
            <wp:extent cx="1600200" cy="1084580"/>
            <wp:effectExtent l="19050" t="0" r="0" b="0"/>
            <wp:wrapTight wrapText="bothSides">
              <wp:wrapPolygon edited="0">
                <wp:start x="-257" y="0"/>
                <wp:lineTo x="-257" y="21246"/>
                <wp:lineTo x="21600" y="21246"/>
                <wp:lineTo x="21600" y="0"/>
                <wp:lineTo x="-257" y="0"/>
              </wp:wrapPolygon>
            </wp:wrapTight>
            <wp:docPr id="7" name="Imagen 3" descr="MESECVI-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MESECVI-LowRes"/>
                    <pic:cNvPicPr>
                      <a:picLocks noChangeAspect="1" noChangeArrowheads="1"/>
                    </pic:cNvPicPr>
                  </pic:nvPicPr>
                  <pic:blipFill>
                    <a:blip r:embed="rId9"/>
                    <a:srcRect/>
                    <a:stretch>
                      <a:fillRect/>
                    </a:stretch>
                  </pic:blipFill>
                  <pic:spPr bwMode="auto">
                    <a:xfrm>
                      <a:off x="0" y="0"/>
                      <a:ext cx="1600200" cy="1084580"/>
                    </a:xfrm>
                    <a:prstGeom prst="rect">
                      <a:avLst/>
                    </a:prstGeom>
                    <a:noFill/>
                  </pic:spPr>
                </pic:pic>
              </a:graphicData>
            </a:graphic>
          </wp:anchor>
        </w:drawing>
      </w:r>
      <w:r w:rsidRPr="005F28DB">
        <w:rPr>
          <w:rFonts w:ascii="Times New Roman" w:hAnsi="Times New Roman" w:cs="Times New Roman"/>
          <w:noProof/>
          <w:sz w:val="24"/>
          <w:szCs w:val="24"/>
          <w:lang w:val="en-US" w:eastAsia="en-US"/>
        </w:rPr>
        <w:drawing>
          <wp:anchor distT="0" distB="0" distL="114300" distR="114300" simplePos="0" relativeHeight="251660288" behindDoc="0" locked="0" layoutInCell="1" allowOverlap="1">
            <wp:simplePos x="0" y="0"/>
            <wp:positionH relativeFrom="column">
              <wp:posOffset>164465</wp:posOffset>
            </wp:positionH>
            <wp:positionV relativeFrom="paragraph">
              <wp:posOffset>-114300</wp:posOffset>
            </wp:positionV>
            <wp:extent cx="1257300" cy="1251585"/>
            <wp:effectExtent l="19050" t="0" r="0" b="0"/>
            <wp:wrapSquare wrapText="bothSides"/>
            <wp:docPr id="6" name="Imagen 2" descr="OAS_Seal_ESP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AS_Seal_ESP_vertical"/>
                    <pic:cNvPicPr>
                      <a:picLocks noChangeAspect="1" noChangeArrowheads="1"/>
                    </pic:cNvPicPr>
                  </pic:nvPicPr>
                  <pic:blipFill>
                    <a:blip r:embed="rId10"/>
                    <a:srcRect/>
                    <a:stretch>
                      <a:fillRect/>
                    </a:stretch>
                  </pic:blipFill>
                  <pic:spPr bwMode="auto">
                    <a:xfrm>
                      <a:off x="0" y="0"/>
                      <a:ext cx="1257300" cy="1251585"/>
                    </a:xfrm>
                    <a:prstGeom prst="rect">
                      <a:avLst/>
                    </a:prstGeom>
                    <a:noFill/>
                  </pic:spPr>
                </pic:pic>
              </a:graphicData>
            </a:graphic>
          </wp:anchor>
        </w:drawing>
      </w:r>
    </w:p>
    <w:p w:rsidR="00C37A2E" w:rsidRPr="005F28DB" w:rsidRDefault="00C37A2E" w:rsidP="00C37A2E">
      <w:pPr>
        <w:rPr>
          <w:rFonts w:ascii="Times New Roman" w:hAnsi="Times New Roman" w:cs="Times New Roman"/>
          <w:sz w:val="24"/>
          <w:szCs w:val="24"/>
        </w:rPr>
      </w:pPr>
    </w:p>
    <w:p w:rsidR="00C37A2E" w:rsidRPr="005F28DB" w:rsidRDefault="00C37A2E" w:rsidP="00C37A2E">
      <w:pPr>
        <w:rPr>
          <w:rFonts w:ascii="Times New Roman" w:hAnsi="Times New Roman" w:cs="Times New Roman"/>
          <w:sz w:val="24"/>
          <w:szCs w:val="24"/>
        </w:rPr>
      </w:pPr>
    </w:p>
    <w:p w:rsidR="00C37A2E" w:rsidRPr="005F28DB" w:rsidRDefault="00C37A2E" w:rsidP="00C37A2E">
      <w:pPr>
        <w:spacing w:after="0" w:line="240" w:lineRule="auto"/>
        <w:rPr>
          <w:rFonts w:ascii="Times New Roman" w:hAnsi="Times New Roman" w:cs="Times New Roman"/>
          <w:sz w:val="24"/>
          <w:szCs w:val="24"/>
        </w:rPr>
      </w:pPr>
    </w:p>
    <w:p w:rsidR="00C37A2E" w:rsidRPr="005F28DB" w:rsidRDefault="00C37A2E" w:rsidP="00C37A2E">
      <w:pPr>
        <w:spacing w:after="0" w:line="240" w:lineRule="auto"/>
        <w:rPr>
          <w:rFonts w:ascii="Times New Roman" w:hAnsi="Times New Roman" w:cs="Times New Roman"/>
          <w:sz w:val="24"/>
          <w:szCs w:val="24"/>
        </w:rPr>
      </w:pPr>
    </w:p>
    <w:p w:rsidR="00C37A2E" w:rsidRPr="005F28DB" w:rsidRDefault="00C37A2E" w:rsidP="00C37A2E">
      <w:pPr>
        <w:tabs>
          <w:tab w:val="left" w:pos="360"/>
          <w:tab w:val="left" w:pos="6480"/>
        </w:tabs>
        <w:spacing w:after="0" w:line="240" w:lineRule="auto"/>
        <w:rPr>
          <w:rFonts w:ascii="Times New Roman" w:hAnsi="Times New Roman" w:cs="Times New Roman"/>
          <w:sz w:val="24"/>
          <w:szCs w:val="24"/>
          <w:lang w:val="es-UY"/>
        </w:rPr>
      </w:pPr>
    </w:p>
    <w:p w:rsidR="00C37A2E" w:rsidRPr="005F28DB" w:rsidRDefault="00C37A2E" w:rsidP="00C37A2E">
      <w:pPr>
        <w:tabs>
          <w:tab w:val="left" w:pos="360"/>
          <w:tab w:val="left" w:pos="6480"/>
        </w:tabs>
        <w:spacing w:after="0" w:line="240" w:lineRule="auto"/>
        <w:rPr>
          <w:rFonts w:ascii="Times New Roman" w:hAnsi="Times New Roman" w:cs="Times New Roman"/>
          <w:sz w:val="24"/>
          <w:szCs w:val="24"/>
          <w:lang w:val="es-UY"/>
        </w:rPr>
      </w:pPr>
      <w:r w:rsidRPr="005F28DB">
        <w:rPr>
          <w:rFonts w:ascii="Times New Roman" w:hAnsi="Times New Roman" w:cs="Times New Roman"/>
          <w:sz w:val="24"/>
          <w:szCs w:val="24"/>
          <w:lang w:val="es-UY"/>
        </w:rPr>
        <w:t xml:space="preserve">MECANISMO DE SEGUIMIENTO DE LA              </w:t>
      </w:r>
      <w:r w:rsidR="005F28DB">
        <w:rPr>
          <w:rFonts w:ascii="Times New Roman" w:hAnsi="Times New Roman" w:cs="Times New Roman"/>
          <w:sz w:val="24"/>
          <w:szCs w:val="24"/>
          <w:lang w:val="es-UY"/>
        </w:rPr>
        <w:t xml:space="preserve">                    </w:t>
      </w:r>
      <w:r w:rsidRPr="005F28DB">
        <w:rPr>
          <w:rFonts w:ascii="Times New Roman" w:hAnsi="Times New Roman" w:cs="Times New Roman"/>
          <w:sz w:val="24"/>
          <w:szCs w:val="24"/>
          <w:lang w:val="es-UY"/>
        </w:rPr>
        <w:t>OEA/Ser.L/II.7.10</w:t>
      </w:r>
    </w:p>
    <w:p w:rsidR="00C37A2E" w:rsidRPr="005F28DB" w:rsidRDefault="00C37A2E" w:rsidP="00C37A2E">
      <w:pPr>
        <w:tabs>
          <w:tab w:val="left" w:pos="6480"/>
        </w:tabs>
        <w:spacing w:after="0" w:line="240" w:lineRule="auto"/>
        <w:rPr>
          <w:rFonts w:ascii="Times New Roman" w:hAnsi="Times New Roman" w:cs="Times New Roman"/>
          <w:sz w:val="24"/>
          <w:szCs w:val="24"/>
          <w:lang w:val="pt-BR"/>
        </w:rPr>
      </w:pPr>
      <w:r w:rsidRPr="005F28DB">
        <w:rPr>
          <w:rFonts w:ascii="Times New Roman" w:hAnsi="Times New Roman" w:cs="Times New Roman"/>
          <w:sz w:val="24"/>
          <w:szCs w:val="24"/>
          <w:lang w:val="pt-BR"/>
        </w:rPr>
        <w:t xml:space="preserve">CONVENCIÓN BELÉM DO PARÁ (MESECVI)    </w:t>
      </w:r>
      <w:r w:rsidR="005F28DB">
        <w:rPr>
          <w:rFonts w:ascii="Times New Roman" w:hAnsi="Times New Roman" w:cs="Times New Roman"/>
          <w:sz w:val="24"/>
          <w:szCs w:val="24"/>
          <w:lang w:val="pt-BR"/>
        </w:rPr>
        <w:t xml:space="preserve">                     </w:t>
      </w:r>
      <w:r w:rsidRPr="005F28DB">
        <w:rPr>
          <w:rFonts w:ascii="Times New Roman" w:hAnsi="Times New Roman" w:cs="Times New Roman"/>
          <w:sz w:val="24"/>
          <w:szCs w:val="24"/>
          <w:lang w:val="pt-BR"/>
        </w:rPr>
        <w:t>MESECVI/I-CE/doc.</w:t>
      </w:r>
      <w:r w:rsidR="00D92E41" w:rsidRPr="005F28DB">
        <w:rPr>
          <w:rFonts w:ascii="Times New Roman" w:hAnsi="Times New Roman" w:cs="Times New Roman"/>
          <w:sz w:val="24"/>
          <w:szCs w:val="24"/>
          <w:lang w:val="pt-BR"/>
        </w:rPr>
        <w:t>21</w:t>
      </w:r>
      <w:r w:rsidRPr="005F28DB">
        <w:rPr>
          <w:rFonts w:ascii="Times New Roman" w:hAnsi="Times New Roman" w:cs="Times New Roman"/>
          <w:sz w:val="24"/>
          <w:szCs w:val="24"/>
          <w:lang w:val="pt-BR"/>
        </w:rPr>
        <w:t>/14</w:t>
      </w:r>
    </w:p>
    <w:p w:rsidR="00C37A2E" w:rsidRPr="005F28DB" w:rsidRDefault="00C37A2E" w:rsidP="00C37A2E">
      <w:pPr>
        <w:tabs>
          <w:tab w:val="left" w:pos="6480"/>
        </w:tabs>
        <w:spacing w:after="0" w:line="240" w:lineRule="auto"/>
        <w:rPr>
          <w:rFonts w:ascii="Times New Roman" w:hAnsi="Times New Roman" w:cs="Times New Roman"/>
          <w:sz w:val="24"/>
          <w:szCs w:val="24"/>
          <w:lang w:val="es-AR"/>
        </w:rPr>
      </w:pPr>
      <w:r w:rsidRPr="005F28DB">
        <w:rPr>
          <w:rFonts w:ascii="Times New Roman" w:hAnsi="Times New Roman" w:cs="Times New Roman"/>
          <w:b/>
          <w:sz w:val="24"/>
          <w:szCs w:val="24"/>
          <w:lang w:val="es-UY"/>
        </w:rPr>
        <w:t>PRIMERA CONFERENCIA EXTRAORDINARIA</w:t>
      </w:r>
      <w:r w:rsidR="005F28DB">
        <w:rPr>
          <w:rFonts w:ascii="Times New Roman" w:hAnsi="Times New Roman" w:cs="Times New Roman"/>
          <w:sz w:val="24"/>
          <w:szCs w:val="24"/>
          <w:lang w:val="es-AR"/>
        </w:rPr>
        <w:t xml:space="preserve">                 </w:t>
      </w:r>
      <w:r w:rsidRPr="005F28DB">
        <w:rPr>
          <w:rFonts w:ascii="Times New Roman" w:hAnsi="Times New Roman" w:cs="Times New Roman"/>
          <w:sz w:val="24"/>
          <w:szCs w:val="24"/>
          <w:lang w:val="es-AR"/>
        </w:rPr>
        <w:t>7 de octubre de 2014</w:t>
      </w:r>
    </w:p>
    <w:p w:rsidR="00C37A2E" w:rsidRPr="005F28DB" w:rsidRDefault="00C37A2E" w:rsidP="00C37A2E">
      <w:pPr>
        <w:tabs>
          <w:tab w:val="left" w:pos="6480"/>
          <w:tab w:val="left" w:pos="7200"/>
        </w:tabs>
        <w:spacing w:after="0" w:line="240" w:lineRule="auto"/>
        <w:rPr>
          <w:rFonts w:ascii="Times New Roman" w:hAnsi="Times New Roman" w:cs="Times New Roman"/>
          <w:sz w:val="24"/>
          <w:szCs w:val="24"/>
          <w:lang w:val="es-UY"/>
        </w:rPr>
      </w:pPr>
      <w:r w:rsidRPr="005F28DB">
        <w:rPr>
          <w:rFonts w:ascii="Times New Roman" w:hAnsi="Times New Roman" w:cs="Times New Roman"/>
          <w:b/>
          <w:sz w:val="24"/>
          <w:szCs w:val="24"/>
          <w:lang w:val="es-UY"/>
        </w:rPr>
        <w:t xml:space="preserve">DE LOS ESTADOS PARTE DE LA </w:t>
      </w:r>
      <w:r w:rsidRPr="005F28DB">
        <w:rPr>
          <w:rFonts w:ascii="Times New Roman" w:hAnsi="Times New Roman" w:cs="Times New Roman"/>
          <w:b/>
          <w:sz w:val="24"/>
          <w:szCs w:val="24"/>
          <w:lang w:val="es-ES"/>
        </w:rPr>
        <w:t>CONVENCIÓN</w:t>
      </w:r>
      <w:r w:rsidR="005F28DB">
        <w:rPr>
          <w:rFonts w:ascii="Times New Roman" w:hAnsi="Times New Roman" w:cs="Times New Roman"/>
          <w:sz w:val="24"/>
          <w:szCs w:val="24"/>
          <w:lang w:val="es-UY"/>
        </w:rPr>
        <w:t xml:space="preserve">               </w:t>
      </w:r>
      <w:r w:rsidRPr="005F28DB">
        <w:rPr>
          <w:rFonts w:ascii="Times New Roman" w:hAnsi="Times New Roman" w:cs="Times New Roman"/>
          <w:sz w:val="24"/>
          <w:szCs w:val="24"/>
          <w:lang w:val="es-UY"/>
        </w:rPr>
        <w:t>Original: español</w:t>
      </w:r>
    </w:p>
    <w:p w:rsidR="00C37A2E" w:rsidRPr="005F28DB" w:rsidRDefault="00C37A2E" w:rsidP="00C37A2E">
      <w:pPr>
        <w:tabs>
          <w:tab w:val="left" w:pos="6480"/>
          <w:tab w:val="left" w:pos="7200"/>
        </w:tabs>
        <w:spacing w:after="0" w:line="240" w:lineRule="auto"/>
        <w:rPr>
          <w:rFonts w:ascii="Times New Roman" w:hAnsi="Times New Roman" w:cs="Times New Roman"/>
          <w:b/>
          <w:sz w:val="24"/>
          <w:szCs w:val="24"/>
          <w:lang w:val="es-UY"/>
        </w:rPr>
      </w:pPr>
      <w:r w:rsidRPr="005F28DB">
        <w:rPr>
          <w:rFonts w:ascii="Times New Roman" w:hAnsi="Times New Roman" w:cs="Times New Roman"/>
          <w:b/>
          <w:sz w:val="24"/>
          <w:szCs w:val="24"/>
          <w:lang w:val="es-UY"/>
        </w:rPr>
        <w:t xml:space="preserve">DE BELÉM </w:t>
      </w:r>
      <w:r w:rsidRPr="005F28DB">
        <w:rPr>
          <w:rFonts w:ascii="Times New Roman" w:hAnsi="Times New Roman" w:cs="Times New Roman"/>
          <w:b/>
          <w:sz w:val="24"/>
          <w:szCs w:val="24"/>
          <w:lang w:val="es-ES"/>
        </w:rPr>
        <w:t>DO PARÁ</w:t>
      </w:r>
    </w:p>
    <w:p w:rsidR="00C37A2E" w:rsidRPr="005F28DB" w:rsidRDefault="00C37A2E" w:rsidP="00C37A2E">
      <w:pPr>
        <w:tabs>
          <w:tab w:val="left" w:pos="6480"/>
          <w:tab w:val="left" w:pos="7200"/>
        </w:tabs>
        <w:spacing w:after="0" w:line="240" w:lineRule="auto"/>
        <w:rPr>
          <w:rFonts w:ascii="Times New Roman" w:hAnsi="Times New Roman" w:cs="Times New Roman"/>
          <w:sz w:val="24"/>
          <w:szCs w:val="24"/>
          <w:lang w:val="es-UY"/>
        </w:rPr>
      </w:pPr>
      <w:r w:rsidRPr="005F28DB">
        <w:rPr>
          <w:rFonts w:ascii="Times New Roman" w:hAnsi="Times New Roman" w:cs="Times New Roman"/>
          <w:sz w:val="24"/>
          <w:szCs w:val="24"/>
          <w:lang w:val="es-UY"/>
        </w:rPr>
        <w:t>23 y 24 octubre de 2014</w:t>
      </w:r>
      <w:r w:rsidRPr="005F28DB">
        <w:rPr>
          <w:rFonts w:ascii="Times New Roman" w:hAnsi="Times New Roman" w:cs="Times New Roman"/>
          <w:sz w:val="24"/>
          <w:szCs w:val="24"/>
          <w:lang w:val="es-AR"/>
        </w:rPr>
        <w:t xml:space="preserve">                                                                        </w:t>
      </w:r>
    </w:p>
    <w:p w:rsidR="00C37A2E" w:rsidRPr="005F28DB" w:rsidRDefault="00C37A2E" w:rsidP="00C37A2E">
      <w:pPr>
        <w:spacing w:after="0" w:line="240" w:lineRule="auto"/>
        <w:outlineLvl w:val="0"/>
        <w:rPr>
          <w:rFonts w:ascii="Times New Roman" w:hAnsi="Times New Roman" w:cs="Times New Roman"/>
          <w:bCs/>
          <w:sz w:val="24"/>
          <w:szCs w:val="24"/>
          <w:lang w:val="es-UY"/>
        </w:rPr>
      </w:pPr>
      <w:r w:rsidRPr="005F28DB">
        <w:rPr>
          <w:rFonts w:ascii="Times New Roman" w:hAnsi="Times New Roman" w:cs="Times New Roman"/>
          <w:bCs/>
          <w:sz w:val="24"/>
          <w:szCs w:val="24"/>
          <w:lang w:val="es-UY"/>
        </w:rPr>
        <w:t>Ciudad de México</w:t>
      </w:r>
    </w:p>
    <w:p w:rsidR="00832571" w:rsidRPr="005F28DB" w:rsidRDefault="00832571" w:rsidP="00832571">
      <w:pPr>
        <w:pStyle w:val="NormalWeb"/>
        <w:spacing w:before="0" w:beforeAutospacing="0" w:after="0" w:afterAutospacing="0"/>
        <w:ind w:left="360"/>
        <w:jc w:val="center"/>
        <w:outlineLvl w:val="0"/>
        <w:rPr>
          <w:lang w:val="es-UY"/>
        </w:rPr>
      </w:pPr>
    </w:p>
    <w:p w:rsidR="00832571" w:rsidRPr="005F28DB" w:rsidRDefault="00832571" w:rsidP="00832571">
      <w:pPr>
        <w:pStyle w:val="NormalWeb"/>
        <w:spacing w:before="0" w:beforeAutospacing="0" w:after="0" w:afterAutospacing="0"/>
        <w:ind w:left="360"/>
        <w:jc w:val="center"/>
        <w:outlineLvl w:val="0"/>
        <w:rPr>
          <w:lang w:val="es-UY"/>
        </w:rPr>
      </w:pPr>
    </w:p>
    <w:p w:rsidR="00832571" w:rsidRPr="005F28DB" w:rsidRDefault="00832571" w:rsidP="00832571">
      <w:pPr>
        <w:pStyle w:val="NormalWeb"/>
        <w:spacing w:before="0" w:beforeAutospacing="0" w:after="0" w:afterAutospacing="0"/>
        <w:ind w:left="360"/>
        <w:jc w:val="center"/>
        <w:outlineLvl w:val="0"/>
        <w:rPr>
          <w:lang w:val="es-ES"/>
        </w:rPr>
      </w:pPr>
    </w:p>
    <w:p w:rsidR="00832571" w:rsidRPr="005F28DB" w:rsidRDefault="00832571" w:rsidP="00832571">
      <w:pPr>
        <w:pStyle w:val="NormalWeb"/>
        <w:spacing w:before="0" w:beforeAutospacing="0" w:after="0" w:afterAutospacing="0"/>
        <w:ind w:left="360"/>
        <w:jc w:val="center"/>
        <w:outlineLvl w:val="0"/>
        <w:rPr>
          <w:lang w:val="es-ES"/>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pStyle w:val="NormalWeb"/>
        <w:spacing w:before="0" w:beforeAutospacing="0" w:after="0" w:afterAutospacing="0"/>
        <w:ind w:left="360"/>
        <w:jc w:val="center"/>
        <w:outlineLvl w:val="0"/>
        <w:rPr>
          <w:b/>
        </w:rPr>
      </w:pPr>
      <w:r w:rsidRPr="005F28DB">
        <w:rPr>
          <w:b/>
        </w:rPr>
        <w:t>COSTA RICA</w:t>
      </w:r>
    </w:p>
    <w:p w:rsidR="00832571" w:rsidRPr="005F28DB" w:rsidRDefault="00832571" w:rsidP="00832571">
      <w:pPr>
        <w:pStyle w:val="NormalWeb"/>
        <w:spacing w:before="0" w:beforeAutospacing="0" w:after="0" w:afterAutospacing="0"/>
        <w:ind w:left="360"/>
        <w:jc w:val="center"/>
        <w:outlineLvl w:val="0"/>
        <w:rPr>
          <w:b/>
        </w:rPr>
      </w:pPr>
    </w:p>
    <w:p w:rsidR="00832571" w:rsidRPr="005F28DB" w:rsidRDefault="00832571" w:rsidP="00832571">
      <w:pPr>
        <w:spacing w:after="0" w:line="240" w:lineRule="auto"/>
        <w:jc w:val="center"/>
        <w:rPr>
          <w:rFonts w:ascii="Times New Roman" w:hAnsi="Times New Roman" w:cs="Times New Roman"/>
          <w:b/>
          <w:sz w:val="24"/>
          <w:szCs w:val="24"/>
          <w:lang w:val="es-ES"/>
        </w:rPr>
      </w:pPr>
      <w:r w:rsidRPr="005F28DB">
        <w:rPr>
          <w:rFonts w:ascii="Times New Roman" w:hAnsi="Times New Roman" w:cs="Times New Roman"/>
          <w:b/>
          <w:sz w:val="24"/>
          <w:szCs w:val="24"/>
          <w:lang w:val="es-ES"/>
        </w:rPr>
        <w:t>INFORME DE IMPLEMENTACIÓN DE LAS RECOMENDACIONES DEL CEVI</w:t>
      </w:r>
    </w:p>
    <w:p w:rsidR="00832571" w:rsidRPr="005F28DB" w:rsidRDefault="00832571" w:rsidP="00832571">
      <w:pPr>
        <w:spacing w:after="0" w:line="240" w:lineRule="auto"/>
        <w:jc w:val="center"/>
        <w:rPr>
          <w:rFonts w:ascii="Times New Roman" w:hAnsi="Times New Roman" w:cs="Times New Roman"/>
          <w:b/>
          <w:sz w:val="24"/>
          <w:szCs w:val="24"/>
          <w:lang w:val="es-ES"/>
        </w:rPr>
      </w:pPr>
      <w:r w:rsidRPr="005F28DB">
        <w:rPr>
          <w:rFonts w:ascii="Times New Roman" w:hAnsi="Times New Roman" w:cs="Times New Roman"/>
          <w:b/>
          <w:sz w:val="24"/>
          <w:szCs w:val="24"/>
          <w:lang w:val="es-ES"/>
        </w:rPr>
        <w:t>SEGUNDA RONDA</w:t>
      </w:r>
    </w:p>
    <w:p w:rsidR="00832571" w:rsidRPr="005F28DB" w:rsidRDefault="00832571" w:rsidP="00832571">
      <w:pPr>
        <w:ind w:firstLine="720"/>
        <w:jc w:val="both"/>
        <w:rPr>
          <w:rFonts w:ascii="Times New Roman" w:hAnsi="Times New Roman" w:cs="Times New Roman"/>
          <w:b/>
          <w:bCs/>
          <w:sz w:val="24"/>
          <w:szCs w:val="24"/>
          <w:lang w:val="es-ES"/>
        </w:rPr>
      </w:pPr>
    </w:p>
    <w:p w:rsidR="00832571" w:rsidRPr="005F28DB" w:rsidRDefault="00832571" w:rsidP="00832571">
      <w:pPr>
        <w:ind w:firstLine="720"/>
        <w:jc w:val="both"/>
        <w:rPr>
          <w:rFonts w:ascii="Times New Roman" w:hAnsi="Times New Roman" w:cs="Times New Roman"/>
          <w:b/>
          <w:bCs/>
          <w:sz w:val="24"/>
          <w:szCs w:val="24"/>
          <w:lang w:val="es-ES"/>
        </w:rPr>
      </w:pPr>
    </w:p>
    <w:p w:rsidR="00BA1BA0" w:rsidRPr="005F28DB" w:rsidRDefault="00BA1BA0"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832571" w:rsidRPr="005F28DB" w:rsidRDefault="00832571"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832571" w:rsidRPr="005F28DB" w:rsidRDefault="00832571" w:rsidP="00196A5D">
      <w:pPr>
        <w:shd w:val="clear" w:color="auto" w:fill="FFFFFF"/>
        <w:spacing w:after="0" w:line="240" w:lineRule="auto"/>
        <w:jc w:val="both"/>
        <w:rPr>
          <w:rFonts w:ascii="Times New Roman" w:eastAsia="Times New Roman" w:hAnsi="Times New Roman" w:cs="Times New Roman"/>
          <w:b/>
          <w:color w:val="222222"/>
          <w:sz w:val="24"/>
          <w:szCs w:val="24"/>
          <w:lang w:eastAsia="es-ES"/>
        </w:rPr>
      </w:pPr>
    </w:p>
    <w:p w:rsidR="00196A5D" w:rsidRPr="005F28DB" w:rsidRDefault="00196A5D" w:rsidP="00196A5D">
      <w:pPr>
        <w:shd w:val="clear" w:color="auto" w:fill="FFFFFF"/>
        <w:spacing w:after="0" w:line="240" w:lineRule="auto"/>
        <w:jc w:val="both"/>
        <w:rPr>
          <w:rFonts w:ascii="Times New Roman" w:eastAsia="Times New Roman" w:hAnsi="Times New Roman" w:cs="Times New Roman"/>
          <w:b/>
          <w:color w:val="222222"/>
          <w:sz w:val="24"/>
          <w:szCs w:val="24"/>
          <w:lang w:eastAsia="es-ES"/>
        </w:rPr>
      </w:pPr>
    </w:p>
    <w:p w:rsidR="00832571" w:rsidRPr="005F28DB" w:rsidRDefault="00832571" w:rsidP="004F4B40">
      <w:pPr>
        <w:shd w:val="clear" w:color="auto" w:fill="FFFFFF"/>
        <w:spacing w:after="0" w:line="240" w:lineRule="auto"/>
        <w:jc w:val="both"/>
        <w:rPr>
          <w:rFonts w:ascii="Times New Roman" w:eastAsia="Times New Roman" w:hAnsi="Times New Roman" w:cs="Times New Roman"/>
          <w:b/>
          <w:color w:val="222222"/>
          <w:sz w:val="24"/>
          <w:szCs w:val="24"/>
          <w:lang w:eastAsia="es-ES"/>
        </w:rPr>
      </w:pPr>
    </w:p>
    <w:p w:rsidR="00832571" w:rsidRPr="005F28DB" w:rsidRDefault="00832571"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CD7E72" w:rsidRDefault="00CD7E72"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9D44EE" w:rsidRPr="005F28DB" w:rsidRDefault="009D44EE"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CD7E72" w:rsidRPr="005F28DB" w:rsidRDefault="00CD7E72"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CD7E72" w:rsidRPr="005F28DB" w:rsidRDefault="00CD7E72" w:rsidP="00BA1BA0">
      <w:pPr>
        <w:shd w:val="clear" w:color="auto" w:fill="FFFFFF"/>
        <w:spacing w:after="0" w:line="240" w:lineRule="auto"/>
        <w:ind w:firstLine="720"/>
        <w:jc w:val="both"/>
        <w:rPr>
          <w:rFonts w:ascii="Times New Roman" w:eastAsia="Times New Roman" w:hAnsi="Times New Roman" w:cs="Times New Roman"/>
          <w:b/>
          <w:color w:val="222222"/>
          <w:sz w:val="24"/>
          <w:szCs w:val="24"/>
          <w:lang w:eastAsia="es-ES"/>
        </w:rPr>
      </w:pPr>
    </w:p>
    <w:p w:rsidR="00BA1BA0" w:rsidRPr="005F28DB" w:rsidRDefault="00BA1BA0" w:rsidP="00EB0DD7">
      <w:pPr>
        <w:shd w:val="clear" w:color="auto" w:fill="FFFFFF"/>
        <w:spacing w:after="0" w:line="240" w:lineRule="auto"/>
        <w:ind w:firstLine="720"/>
        <w:rPr>
          <w:rFonts w:ascii="Times New Roman" w:eastAsia="Times New Roman" w:hAnsi="Times New Roman" w:cs="Times New Roman"/>
          <w:color w:val="222222"/>
          <w:sz w:val="24"/>
          <w:szCs w:val="24"/>
          <w:lang w:eastAsia="es-ES"/>
        </w:rPr>
      </w:pPr>
      <w:r w:rsidRPr="005F28DB">
        <w:rPr>
          <w:rFonts w:ascii="Times New Roman" w:eastAsia="Times New Roman" w:hAnsi="Times New Roman" w:cs="Times New Roman"/>
          <w:b/>
          <w:bCs/>
          <w:color w:val="222222"/>
          <w:sz w:val="24"/>
          <w:szCs w:val="24"/>
          <w:lang w:eastAsia="es-ES"/>
        </w:rPr>
        <w:t> </w:t>
      </w:r>
    </w:p>
    <w:p w:rsidR="001913ED" w:rsidRPr="005F28DB" w:rsidRDefault="001913ED" w:rsidP="008B6A77">
      <w:pPr>
        <w:pStyle w:val="ListParagraph"/>
        <w:numPr>
          <w:ilvl w:val="0"/>
          <w:numId w:val="13"/>
        </w:numPr>
        <w:shd w:val="clear" w:color="auto" w:fill="FFFFFF"/>
        <w:spacing w:after="0" w:line="240" w:lineRule="auto"/>
        <w:ind w:hanging="360"/>
        <w:rPr>
          <w:rFonts w:ascii="Times New Roman" w:eastAsia="Times New Roman" w:hAnsi="Times New Roman" w:cs="Times New Roman"/>
          <w:b/>
          <w:bCs/>
          <w:color w:val="222222"/>
          <w:sz w:val="24"/>
          <w:szCs w:val="24"/>
          <w:lang w:eastAsia="es-ES"/>
        </w:rPr>
      </w:pPr>
      <w:r w:rsidRPr="005F28DB">
        <w:rPr>
          <w:rFonts w:ascii="Times New Roman" w:eastAsia="Times New Roman" w:hAnsi="Times New Roman" w:cs="Times New Roman"/>
          <w:b/>
          <w:bCs/>
          <w:color w:val="222222"/>
          <w:sz w:val="24"/>
          <w:szCs w:val="24"/>
          <w:lang w:eastAsia="es-ES"/>
        </w:rPr>
        <w:lastRenderedPageBreak/>
        <w:t>Introducción</w:t>
      </w:r>
    </w:p>
    <w:p w:rsidR="001913ED" w:rsidRPr="005F28DB" w:rsidRDefault="001913ED" w:rsidP="00EB0DD7">
      <w:pPr>
        <w:shd w:val="clear" w:color="auto" w:fill="FFFFFF"/>
        <w:spacing w:after="0" w:line="240" w:lineRule="auto"/>
        <w:ind w:firstLine="720"/>
        <w:rPr>
          <w:rFonts w:ascii="Times New Roman" w:eastAsia="Times New Roman" w:hAnsi="Times New Roman" w:cs="Times New Roman"/>
          <w:b/>
          <w:bCs/>
          <w:color w:val="222222"/>
          <w:sz w:val="24"/>
          <w:szCs w:val="24"/>
          <w:lang w:eastAsia="es-ES"/>
        </w:rPr>
      </w:pPr>
    </w:p>
    <w:p w:rsidR="00832571" w:rsidRPr="005F28DB" w:rsidRDefault="00B20ED2" w:rsidP="003D6EFF">
      <w:pPr>
        <w:pStyle w:val="ListParagraph"/>
        <w:numPr>
          <w:ilvl w:val="0"/>
          <w:numId w:val="10"/>
        </w:numPr>
        <w:spacing w:after="0" w:line="240" w:lineRule="auto"/>
        <w:jc w:val="both"/>
        <w:rPr>
          <w:rFonts w:ascii="Times New Roman" w:eastAsia="Times New Roman" w:hAnsi="Times New Roman" w:cs="Times New Roman"/>
          <w:bCs/>
          <w:color w:val="222222"/>
          <w:sz w:val="24"/>
          <w:szCs w:val="24"/>
          <w:lang w:eastAsia="es-ES"/>
        </w:rPr>
      </w:pPr>
      <w:r w:rsidRPr="005F28DB">
        <w:rPr>
          <w:rFonts w:ascii="Times New Roman" w:eastAsia="Times New Roman" w:hAnsi="Times New Roman" w:cs="Times New Roman"/>
          <w:bCs/>
          <w:color w:val="222222"/>
          <w:sz w:val="24"/>
          <w:szCs w:val="24"/>
          <w:lang w:eastAsia="es-ES"/>
        </w:rPr>
        <w:t xml:space="preserve">El  </w:t>
      </w:r>
      <w:r w:rsidR="00E73DFA" w:rsidRPr="005F28DB">
        <w:rPr>
          <w:rFonts w:ascii="Times New Roman" w:eastAsia="Times New Roman" w:hAnsi="Times New Roman" w:cs="Times New Roman"/>
          <w:bCs/>
          <w:color w:val="222222"/>
          <w:sz w:val="24"/>
          <w:szCs w:val="24"/>
          <w:lang w:eastAsia="es-ES"/>
        </w:rPr>
        <w:t>presente Informe de seguimiento al Estado de Costa Rica ha supuesto  el análisis de la respuesta de los indicadores  y el cotejo de informes previamente elaborado</w:t>
      </w:r>
      <w:r w:rsidR="00A374EE" w:rsidRPr="005F28DB">
        <w:rPr>
          <w:rFonts w:ascii="Times New Roman" w:eastAsia="Times New Roman" w:hAnsi="Times New Roman" w:cs="Times New Roman"/>
          <w:bCs/>
          <w:color w:val="222222"/>
          <w:sz w:val="24"/>
          <w:szCs w:val="24"/>
          <w:lang w:eastAsia="es-ES"/>
        </w:rPr>
        <w:t>s</w:t>
      </w:r>
      <w:r w:rsidR="00E73DFA" w:rsidRPr="005F28DB">
        <w:rPr>
          <w:rFonts w:ascii="Times New Roman" w:eastAsia="Times New Roman" w:hAnsi="Times New Roman" w:cs="Times New Roman"/>
          <w:bCs/>
          <w:color w:val="222222"/>
          <w:sz w:val="24"/>
          <w:szCs w:val="24"/>
          <w:lang w:eastAsia="es-ES"/>
        </w:rPr>
        <w:t xml:space="preserve"> y revisado</w:t>
      </w:r>
      <w:r w:rsidR="00A374EE" w:rsidRPr="005F28DB">
        <w:rPr>
          <w:rFonts w:ascii="Times New Roman" w:eastAsia="Times New Roman" w:hAnsi="Times New Roman" w:cs="Times New Roman"/>
          <w:bCs/>
          <w:color w:val="222222"/>
          <w:sz w:val="24"/>
          <w:szCs w:val="24"/>
          <w:lang w:eastAsia="es-ES"/>
        </w:rPr>
        <w:t>s</w:t>
      </w:r>
      <w:r w:rsidR="00E73DFA" w:rsidRPr="005F28DB">
        <w:rPr>
          <w:rFonts w:ascii="Times New Roman" w:eastAsia="Times New Roman" w:hAnsi="Times New Roman" w:cs="Times New Roman"/>
          <w:bCs/>
          <w:color w:val="222222"/>
          <w:sz w:val="24"/>
          <w:szCs w:val="24"/>
          <w:lang w:eastAsia="es-ES"/>
        </w:rPr>
        <w:t xml:space="preserve"> con sus respectivas recomendaciones; se ha empleado  el esquema y la metodología para el análisis  sugerido por la Secretaría Permanente de la CIM, en su calidad de Secretaría Técnica del MESECVI</w:t>
      </w:r>
      <w:r w:rsidR="00BC4ADA" w:rsidRPr="005F28DB">
        <w:rPr>
          <w:rFonts w:ascii="Times New Roman" w:eastAsia="Times New Roman" w:hAnsi="Times New Roman" w:cs="Times New Roman"/>
          <w:bCs/>
          <w:color w:val="222222"/>
          <w:sz w:val="24"/>
          <w:szCs w:val="24"/>
          <w:lang w:eastAsia="es-ES"/>
        </w:rPr>
        <w:t>.</w:t>
      </w:r>
    </w:p>
    <w:p w:rsidR="00832571" w:rsidRPr="005F28DB" w:rsidRDefault="00832571" w:rsidP="003D6EFF">
      <w:pPr>
        <w:pStyle w:val="ListParagraph"/>
        <w:spacing w:after="0" w:line="240" w:lineRule="auto"/>
        <w:jc w:val="both"/>
        <w:rPr>
          <w:rFonts w:ascii="Times New Roman" w:eastAsia="Times New Roman" w:hAnsi="Times New Roman" w:cs="Times New Roman"/>
          <w:bCs/>
          <w:color w:val="222222"/>
          <w:sz w:val="24"/>
          <w:szCs w:val="24"/>
          <w:lang w:eastAsia="es-ES"/>
        </w:rPr>
      </w:pPr>
    </w:p>
    <w:p w:rsidR="00BA1BA0" w:rsidRPr="005F28DB" w:rsidRDefault="00BC4ADA" w:rsidP="003D6EFF">
      <w:pPr>
        <w:pStyle w:val="ListParagraph"/>
        <w:numPr>
          <w:ilvl w:val="0"/>
          <w:numId w:val="10"/>
        </w:numPr>
        <w:spacing w:after="0" w:line="240" w:lineRule="auto"/>
        <w:jc w:val="both"/>
        <w:rPr>
          <w:rFonts w:ascii="Times New Roman" w:eastAsia="Times New Roman" w:hAnsi="Times New Roman" w:cs="Times New Roman"/>
          <w:bCs/>
          <w:color w:val="222222"/>
          <w:sz w:val="24"/>
          <w:szCs w:val="24"/>
          <w:lang w:eastAsia="es-ES"/>
        </w:rPr>
      </w:pPr>
      <w:r w:rsidRPr="005F28DB">
        <w:rPr>
          <w:rFonts w:ascii="Times New Roman" w:eastAsia="Times New Roman" w:hAnsi="Times New Roman" w:cs="Times New Roman"/>
          <w:bCs/>
          <w:color w:val="222222"/>
          <w:sz w:val="24"/>
          <w:szCs w:val="24"/>
          <w:lang w:eastAsia="es-ES"/>
        </w:rPr>
        <w:t>El Informe se ha estructura</w:t>
      </w:r>
      <w:r w:rsidR="003D6EFF" w:rsidRPr="005F28DB">
        <w:rPr>
          <w:rFonts w:ascii="Times New Roman" w:eastAsia="Times New Roman" w:hAnsi="Times New Roman" w:cs="Times New Roman"/>
          <w:bCs/>
          <w:color w:val="222222"/>
          <w:sz w:val="24"/>
          <w:szCs w:val="24"/>
          <w:lang w:eastAsia="es-ES"/>
        </w:rPr>
        <w:t xml:space="preserve">do </w:t>
      </w:r>
      <w:r w:rsidRPr="005F28DB">
        <w:rPr>
          <w:rFonts w:ascii="Times New Roman" w:eastAsia="Times New Roman" w:hAnsi="Times New Roman" w:cs="Times New Roman"/>
          <w:bCs/>
          <w:color w:val="222222"/>
          <w:sz w:val="24"/>
          <w:szCs w:val="24"/>
          <w:lang w:eastAsia="es-ES"/>
        </w:rPr>
        <w:t>del siguiente modo: resumen de avances en la materialización del derecho de las muj</w:t>
      </w:r>
      <w:r w:rsidR="003D6EFF" w:rsidRPr="005F28DB">
        <w:rPr>
          <w:rFonts w:ascii="Times New Roman" w:eastAsia="Times New Roman" w:hAnsi="Times New Roman" w:cs="Times New Roman"/>
          <w:bCs/>
          <w:color w:val="222222"/>
          <w:sz w:val="24"/>
          <w:szCs w:val="24"/>
          <w:lang w:eastAsia="es-ES"/>
        </w:rPr>
        <w:t>eres a vivir un mundo libre de violencia, en cada uno de los t</w:t>
      </w:r>
      <w:r w:rsidRPr="005F28DB">
        <w:rPr>
          <w:rFonts w:ascii="Times New Roman" w:eastAsia="Times New Roman" w:hAnsi="Times New Roman" w:cs="Times New Roman"/>
          <w:bCs/>
          <w:color w:val="222222"/>
          <w:sz w:val="24"/>
          <w:szCs w:val="24"/>
          <w:lang w:eastAsia="es-ES"/>
        </w:rPr>
        <w:t xml:space="preserve">emas que el MESECVI ha venido desarrollando como temas prioritarios: Legislación, Planes nacionales,  Acceso a la justicia, Información y estadísticas, y Diversidad; sintetizando los principales avances ya recogidos en el I informe de seguimiento y se ha incorporado observaciones del informe </w:t>
      </w:r>
      <w:r w:rsidR="00A374EE" w:rsidRPr="005F28DB">
        <w:rPr>
          <w:rFonts w:ascii="Times New Roman" w:eastAsia="Times New Roman" w:hAnsi="Times New Roman" w:cs="Times New Roman"/>
          <w:bCs/>
          <w:color w:val="222222"/>
          <w:sz w:val="24"/>
          <w:szCs w:val="24"/>
          <w:lang w:eastAsia="es-ES"/>
        </w:rPr>
        <w:t>de Indicadores de Progreso</w:t>
      </w:r>
      <w:r w:rsidR="005B7048" w:rsidRPr="005F28DB">
        <w:rPr>
          <w:rFonts w:ascii="Times New Roman" w:eastAsia="Times New Roman" w:hAnsi="Times New Roman" w:cs="Times New Roman"/>
          <w:bCs/>
          <w:color w:val="222222"/>
          <w:sz w:val="24"/>
          <w:szCs w:val="24"/>
          <w:lang w:eastAsia="es-ES"/>
        </w:rPr>
        <w:t>,</w:t>
      </w:r>
      <w:r w:rsidR="008378AA" w:rsidRPr="005F28DB">
        <w:rPr>
          <w:rFonts w:ascii="Times New Roman" w:eastAsia="Times New Roman" w:hAnsi="Times New Roman" w:cs="Times New Roman"/>
          <w:bCs/>
          <w:color w:val="222222"/>
          <w:sz w:val="24"/>
          <w:szCs w:val="24"/>
          <w:lang w:eastAsia="es-ES"/>
        </w:rPr>
        <w:t xml:space="preserve"> </w:t>
      </w:r>
      <w:r w:rsidR="00A374EE" w:rsidRPr="005F28DB">
        <w:rPr>
          <w:rFonts w:ascii="Times New Roman" w:eastAsia="Times New Roman" w:hAnsi="Times New Roman" w:cs="Times New Roman"/>
          <w:bCs/>
          <w:color w:val="222222"/>
          <w:sz w:val="24"/>
          <w:szCs w:val="24"/>
          <w:lang w:eastAsia="es-ES"/>
        </w:rPr>
        <w:t>all</w:t>
      </w:r>
      <w:r w:rsidR="008378AA" w:rsidRPr="005F28DB">
        <w:rPr>
          <w:rFonts w:ascii="Times New Roman" w:eastAsia="Times New Roman" w:hAnsi="Times New Roman" w:cs="Times New Roman"/>
          <w:bCs/>
          <w:color w:val="222222"/>
          <w:sz w:val="24"/>
          <w:szCs w:val="24"/>
          <w:lang w:eastAsia="es-ES"/>
        </w:rPr>
        <w:t xml:space="preserve">í donde se </w:t>
      </w:r>
      <w:r w:rsidR="003D6EFF" w:rsidRPr="005F28DB">
        <w:rPr>
          <w:rFonts w:ascii="Times New Roman" w:eastAsia="Times New Roman" w:hAnsi="Times New Roman" w:cs="Times New Roman"/>
          <w:bCs/>
          <w:color w:val="222222"/>
          <w:sz w:val="24"/>
          <w:szCs w:val="24"/>
          <w:lang w:eastAsia="es-ES"/>
        </w:rPr>
        <w:t xml:space="preserve">observaron </w:t>
      </w:r>
      <w:r w:rsidRPr="005F28DB">
        <w:rPr>
          <w:rFonts w:ascii="Times New Roman" w:eastAsia="Times New Roman" w:hAnsi="Times New Roman" w:cs="Times New Roman"/>
          <w:bCs/>
          <w:color w:val="222222"/>
          <w:sz w:val="24"/>
          <w:szCs w:val="24"/>
          <w:lang w:eastAsia="es-ES"/>
        </w:rPr>
        <w:t>avance</w:t>
      </w:r>
      <w:r w:rsidR="008B6A77" w:rsidRPr="005F28DB">
        <w:rPr>
          <w:rFonts w:ascii="Times New Roman" w:eastAsia="Times New Roman" w:hAnsi="Times New Roman" w:cs="Times New Roman"/>
          <w:bCs/>
          <w:color w:val="222222"/>
          <w:sz w:val="24"/>
          <w:szCs w:val="24"/>
          <w:lang w:eastAsia="es-ES"/>
        </w:rPr>
        <w:t xml:space="preserve">s </w:t>
      </w:r>
      <w:r w:rsidR="001250C4" w:rsidRPr="005F28DB">
        <w:rPr>
          <w:rFonts w:ascii="Times New Roman" w:eastAsia="Times New Roman" w:hAnsi="Times New Roman" w:cs="Times New Roman"/>
          <w:bCs/>
          <w:color w:val="222222"/>
          <w:sz w:val="24"/>
          <w:szCs w:val="24"/>
          <w:lang w:eastAsia="es-ES"/>
        </w:rPr>
        <w:t>cualitativos y cuantitativos,</w:t>
      </w:r>
      <w:r w:rsidRPr="005F28DB">
        <w:rPr>
          <w:rFonts w:ascii="Times New Roman" w:eastAsia="Times New Roman" w:hAnsi="Times New Roman" w:cs="Times New Roman"/>
          <w:bCs/>
          <w:color w:val="222222"/>
          <w:sz w:val="24"/>
          <w:szCs w:val="24"/>
          <w:lang w:eastAsia="es-ES"/>
        </w:rPr>
        <w:t xml:space="preserve"> y se ha resumido los principales nudos y moratorias en las materias examinadas.    </w:t>
      </w:r>
      <w:r w:rsidR="00E73DFA" w:rsidRPr="005F28DB">
        <w:rPr>
          <w:rFonts w:ascii="Times New Roman" w:eastAsia="Times New Roman" w:hAnsi="Times New Roman" w:cs="Times New Roman"/>
          <w:bCs/>
          <w:color w:val="222222"/>
          <w:sz w:val="24"/>
          <w:szCs w:val="24"/>
          <w:lang w:eastAsia="es-ES"/>
        </w:rPr>
        <w:t xml:space="preserve"> </w:t>
      </w:r>
    </w:p>
    <w:p w:rsidR="003D6EFF" w:rsidRPr="005F28DB" w:rsidRDefault="003D6EFF" w:rsidP="003D6EFF">
      <w:pPr>
        <w:spacing w:after="0" w:line="240" w:lineRule="auto"/>
        <w:jc w:val="both"/>
        <w:rPr>
          <w:rFonts w:ascii="Times New Roman" w:eastAsia="Times New Roman" w:hAnsi="Times New Roman" w:cs="Times New Roman"/>
          <w:bCs/>
          <w:color w:val="222222"/>
          <w:sz w:val="24"/>
          <w:szCs w:val="24"/>
          <w:lang w:eastAsia="es-ES"/>
        </w:rPr>
      </w:pPr>
    </w:p>
    <w:p w:rsidR="00832571" w:rsidRPr="005F28DB" w:rsidRDefault="00832571" w:rsidP="00832571">
      <w:pPr>
        <w:ind w:firstLine="720"/>
        <w:jc w:val="both"/>
        <w:rPr>
          <w:rFonts w:ascii="Times New Roman" w:hAnsi="Times New Roman" w:cs="Times New Roman"/>
          <w:b/>
          <w:bCs/>
          <w:sz w:val="24"/>
          <w:szCs w:val="24"/>
        </w:rPr>
      </w:pPr>
      <w:r w:rsidRPr="005F28DB">
        <w:rPr>
          <w:rFonts w:ascii="Times New Roman" w:hAnsi="Times New Roman" w:cs="Times New Roman"/>
          <w:b/>
          <w:bCs/>
          <w:sz w:val="24"/>
          <w:szCs w:val="24"/>
        </w:rPr>
        <w:t>II. AVANCE EN LAS RECOMENDACIONES.</w:t>
      </w:r>
    </w:p>
    <w:p w:rsidR="00832571" w:rsidRPr="005F28DB" w:rsidRDefault="000E2997" w:rsidP="000E2997">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cs="Times New Roman"/>
          <w:b/>
          <w:bCs/>
          <w:color w:val="000000"/>
          <w:sz w:val="24"/>
          <w:szCs w:val="24"/>
        </w:rPr>
      </w:pPr>
      <w:r w:rsidRPr="005F28DB">
        <w:rPr>
          <w:rFonts w:ascii="Times New Roman" w:hAnsi="Times New Roman" w:cs="Times New Roman"/>
          <w:b/>
          <w:sz w:val="24"/>
          <w:szCs w:val="24"/>
        </w:rPr>
        <w:t xml:space="preserve">   </w:t>
      </w:r>
      <w:r w:rsidR="00832571" w:rsidRPr="005F28DB">
        <w:rPr>
          <w:rFonts w:ascii="Times New Roman" w:hAnsi="Times New Roman" w:cs="Times New Roman"/>
          <w:b/>
          <w:sz w:val="24"/>
          <w:szCs w:val="24"/>
        </w:rPr>
        <w:t xml:space="preserve">LEGISLACIÓN </w:t>
      </w:r>
      <w:r w:rsidR="00832571" w:rsidRPr="005F28DB">
        <w:rPr>
          <w:rFonts w:ascii="Times New Roman" w:hAnsi="Times New Roman" w:cs="Times New Roman"/>
          <w:b/>
          <w:bCs/>
          <w:color w:val="000000"/>
          <w:sz w:val="24"/>
          <w:szCs w:val="24"/>
        </w:rPr>
        <w:t>– Artículos 1, 2, 3 y 7 incisos c), e) y g) de la Convención de Belém do Pará</w:t>
      </w:r>
    </w:p>
    <w:p w:rsidR="005B7048" w:rsidRPr="005F28DB" w:rsidRDefault="005B7048" w:rsidP="003D6EFF">
      <w:pPr>
        <w:spacing w:after="0" w:line="240" w:lineRule="auto"/>
        <w:rPr>
          <w:rFonts w:ascii="Times New Roman" w:hAnsi="Times New Roman" w:cs="Times New Roman"/>
          <w:b/>
          <w:sz w:val="24"/>
          <w:szCs w:val="24"/>
        </w:rPr>
      </w:pPr>
    </w:p>
    <w:p w:rsidR="00832571" w:rsidRPr="005F28DB" w:rsidRDefault="004B511A"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En materia de cumplimiento de incorporación </w:t>
      </w:r>
      <w:r w:rsidR="00591C41" w:rsidRPr="005F28DB">
        <w:rPr>
          <w:rFonts w:ascii="Times New Roman" w:hAnsi="Times New Roman" w:cs="Times New Roman"/>
          <w:sz w:val="24"/>
          <w:szCs w:val="24"/>
        </w:rPr>
        <w:t xml:space="preserve">de </w:t>
      </w:r>
      <w:r w:rsidRPr="005F28DB">
        <w:rPr>
          <w:rFonts w:ascii="Times New Roman" w:hAnsi="Times New Roman" w:cs="Times New Roman"/>
          <w:sz w:val="24"/>
          <w:szCs w:val="24"/>
        </w:rPr>
        <w:t xml:space="preserve"> la Convención </w:t>
      </w:r>
      <w:r w:rsidRPr="005F28DB">
        <w:rPr>
          <w:rFonts w:ascii="Times New Roman" w:hAnsi="Times New Roman" w:cs="Times New Roman"/>
          <w:sz w:val="24"/>
          <w:szCs w:val="24"/>
          <w:lang w:val="es-ES_tradnl"/>
        </w:rPr>
        <w:t xml:space="preserve">de Belém do Pará </w:t>
      </w:r>
      <w:r w:rsidRPr="005F28DB">
        <w:rPr>
          <w:rFonts w:ascii="Times New Roman" w:hAnsi="Times New Roman" w:cs="Times New Roman"/>
          <w:sz w:val="24"/>
          <w:szCs w:val="24"/>
        </w:rPr>
        <w:t>al  marco jurídico nacional, hay cumplimiento toda vez que  la misma forma parte de la legislación interna desde 1995</w:t>
      </w:r>
      <w:r w:rsidR="00591C41" w:rsidRPr="005F28DB">
        <w:rPr>
          <w:rFonts w:ascii="Times New Roman" w:hAnsi="Times New Roman" w:cs="Times New Roman"/>
          <w:sz w:val="24"/>
          <w:szCs w:val="24"/>
        </w:rPr>
        <w:t>.</w:t>
      </w:r>
    </w:p>
    <w:p w:rsidR="00832571" w:rsidRPr="005F28DB" w:rsidRDefault="00832571" w:rsidP="003D6EFF">
      <w:pPr>
        <w:pStyle w:val="ListParagraph"/>
        <w:spacing w:after="0" w:line="240" w:lineRule="auto"/>
        <w:jc w:val="both"/>
        <w:rPr>
          <w:rFonts w:ascii="Times New Roman" w:hAnsi="Times New Roman" w:cs="Times New Roman"/>
          <w:sz w:val="24"/>
          <w:szCs w:val="24"/>
        </w:rPr>
      </w:pPr>
    </w:p>
    <w:p w:rsidR="00832571" w:rsidRPr="005F28DB" w:rsidRDefault="00724442"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De igual forma</w:t>
      </w:r>
      <w:r w:rsidR="003D6EFF" w:rsidRPr="005F28DB">
        <w:rPr>
          <w:rFonts w:ascii="Times New Roman" w:hAnsi="Times New Roman" w:cs="Times New Roman"/>
          <w:sz w:val="24"/>
          <w:szCs w:val="24"/>
        </w:rPr>
        <w:t>,</w:t>
      </w:r>
      <w:r w:rsidRPr="005F28DB">
        <w:rPr>
          <w:rFonts w:ascii="Times New Roman" w:hAnsi="Times New Roman" w:cs="Times New Roman"/>
          <w:sz w:val="24"/>
          <w:szCs w:val="24"/>
        </w:rPr>
        <w:t xml:space="preserve"> </w:t>
      </w:r>
      <w:r w:rsidR="002E7A27" w:rsidRPr="005F28DB">
        <w:rPr>
          <w:rFonts w:ascii="Times New Roman" w:hAnsi="Times New Roman" w:cs="Times New Roman"/>
          <w:sz w:val="24"/>
          <w:szCs w:val="24"/>
        </w:rPr>
        <w:t>existe</w:t>
      </w:r>
      <w:r w:rsidRPr="005F28DB">
        <w:rPr>
          <w:rFonts w:ascii="Times New Roman" w:hAnsi="Times New Roman" w:cs="Times New Roman"/>
          <w:sz w:val="24"/>
          <w:szCs w:val="24"/>
        </w:rPr>
        <w:t xml:space="preserve"> una ley </w:t>
      </w:r>
      <w:r w:rsidR="006D4939" w:rsidRPr="005F28DB">
        <w:rPr>
          <w:rFonts w:ascii="Times New Roman" w:hAnsi="Times New Roman" w:cs="Times New Roman"/>
          <w:sz w:val="24"/>
          <w:szCs w:val="24"/>
        </w:rPr>
        <w:t xml:space="preserve">de Penalización de la </w:t>
      </w:r>
      <w:r w:rsidR="000A6755" w:rsidRPr="005F28DB">
        <w:rPr>
          <w:rFonts w:ascii="Times New Roman" w:hAnsi="Times New Roman" w:cs="Times New Roman"/>
          <w:sz w:val="24"/>
          <w:szCs w:val="24"/>
        </w:rPr>
        <w:t>V</w:t>
      </w:r>
      <w:r w:rsidR="006D4939" w:rsidRPr="005F28DB">
        <w:rPr>
          <w:rFonts w:ascii="Times New Roman" w:hAnsi="Times New Roman" w:cs="Times New Roman"/>
          <w:sz w:val="24"/>
          <w:szCs w:val="24"/>
        </w:rPr>
        <w:t>iolencia contra las</w:t>
      </w:r>
      <w:r w:rsidR="000A6755" w:rsidRPr="005F28DB">
        <w:rPr>
          <w:rFonts w:ascii="Times New Roman" w:hAnsi="Times New Roman" w:cs="Times New Roman"/>
          <w:sz w:val="24"/>
          <w:szCs w:val="24"/>
        </w:rPr>
        <w:t xml:space="preserve"> M</w:t>
      </w:r>
      <w:r w:rsidR="006D4939" w:rsidRPr="005F28DB">
        <w:rPr>
          <w:rFonts w:ascii="Times New Roman" w:hAnsi="Times New Roman" w:cs="Times New Roman"/>
          <w:sz w:val="24"/>
          <w:szCs w:val="24"/>
        </w:rPr>
        <w:t xml:space="preserve">ujeres Ley Nº 8589 con fecha de adopción del veinticinco de abril del dos mil siete </w:t>
      </w:r>
      <w:r w:rsidR="000A6755" w:rsidRPr="005F28DB">
        <w:rPr>
          <w:rFonts w:ascii="Times New Roman" w:hAnsi="Times New Roman" w:cs="Times New Roman"/>
          <w:sz w:val="24"/>
          <w:szCs w:val="24"/>
        </w:rPr>
        <w:t xml:space="preserve">y su </w:t>
      </w:r>
      <w:r w:rsidR="003D6EFF" w:rsidRPr="005F28DB">
        <w:rPr>
          <w:rFonts w:ascii="Times New Roman" w:hAnsi="Times New Roman" w:cs="Times New Roman"/>
          <w:sz w:val="24"/>
          <w:szCs w:val="24"/>
        </w:rPr>
        <w:t xml:space="preserve">entrada en vigor </w:t>
      </w:r>
      <w:r w:rsidR="000A6755" w:rsidRPr="005F28DB">
        <w:rPr>
          <w:rFonts w:ascii="Times New Roman" w:hAnsi="Times New Roman" w:cs="Times New Roman"/>
          <w:sz w:val="24"/>
          <w:szCs w:val="24"/>
        </w:rPr>
        <w:t xml:space="preserve">se produjo </w:t>
      </w:r>
      <w:r w:rsidR="006D4939" w:rsidRPr="005F28DB">
        <w:rPr>
          <w:rFonts w:ascii="Times New Roman" w:hAnsi="Times New Roman" w:cs="Times New Roman"/>
          <w:sz w:val="24"/>
          <w:szCs w:val="24"/>
        </w:rPr>
        <w:t>el treinta de mayo del 2007</w:t>
      </w:r>
      <w:r w:rsidR="00832571" w:rsidRPr="005F28DB">
        <w:rPr>
          <w:rFonts w:ascii="Times New Roman" w:hAnsi="Times New Roman" w:cs="Times New Roman"/>
          <w:sz w:val="24"/>
          <w:szCs w:val="24"/>
        </w:rPr>
        <w:t>.</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3D6EFF"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país adoptó</w:t>
      </w:r>
      <w:r w:rsidR="0076794F" w:rsidRPr="005F28DB">
        <w:rPr>
          <w:rFonts w:ascii="Times New Roman" w:hAnsi="Times New Roman" w:cs="Times New Roman"/>
          <w:sz w:val="24"/>
          <w:szCs w:val="24"/>
        </w:rPr>
        <w:t xml:space="preserve"> </w:t>
      </w:r>
      <w:r w:rsidR="000A6755" w:rsidRPr="005F28DB">
        <w:rPr>
          <w:rFonts w:ascii="Times New Roman" w:hAnsi="Times New Roman" w:cs="Times New Roman"/>
          <w:sz w:val="24"/>
          <w:szCs w:val="24"/>
        </w:rPr>
        <w:t xml:space="preserve">la Convención de las Naciones Unidas contra la Delincuencia Organizada Transnacional y el Protocolo para Prevenir, Reprimir y Sancionar la Trata de Personas (Protocolo de Palermo), de tal forma </w:t>
      </w:r>
      <w:r w:rsidRPr="005F28DB">
        <w:rPr>
          <w:rFonts w:ascii="Times New Roman" w:hAnsi="Times New Roman" w:cs="Times New Roman"/>
          <w:sz w:val="24"/>
          <w:szCs w:val="24"/>
        </w:rPr>
        <w:t xml:space="preserve">que </w:t>
      </w:r>
      <w:r w:rsidR="000A6755" w:rsidRPr="005F28DB">
        <w:rPr>
          <w:rFonts w:ascii="Times New Roman" w:hAnsi="Times New Roman" w:cs="Times New Roman"/>
          <w:sz w:val="24"/>
          <w:szCs w:val="24"/>
        </w:rPr>
        <w:t>l</w:t>
      </w:r>
      <w:r w:rsidR="0076794F" w:rsidRPr="005F28DB">
        <w:rPr>
          <w:rFonts w:ascii="Times New Roman" w:hAnsi="Times New Roman" w:cs="Times New Roman"/>
          <w:sz w:val="24"/>
          <w:szCs w:val="24"/>
        </w:rPr>
        <w:t>a trata nacional e internacional de p</w:t>
      </w:r>
      <w:r w:rsidRPr="005F28DB">
        <w:rPr>
          <w:rFonts w:ascii="Times New Roman" w:hAnsi="Times New Roman" w:cs="Times New Roman"/>
          <w:sz w:val="24"/>
          <w:szCs w:val="24"/>
        </w:rPr>
        <w:t xml:space="preserve">ersonas está contemplada en el </w:t>
      </w:r>
      <w:r w:rsidR="0076794F" w:rsidRPr="005F28DB">
        <w:rPr>
          <w:rFonts w:ascii="Times New Roman" w:hAnsi="Times New Roman" w:cs="Times New Roman"/>
          <w:sz w:val="24"/>
          <w:szCs w:val="24"/>
        </w:rPr>
        <w:t xml:space="preserve">Código Penal, modificado mediante la Ley 8729 –Ley de protección a víctimas, testigos y demás sujetos intervinientes en el proceso penal, </w:t>
      </w:r>
      <w:r w:rsidRPr="005F28DB">
        <w:rPr>
          <w:rFonts w:ascii="Times New Roman" w:hAnsi="Times New Roman" w:cs="Times New Roman"/>
          <w:sz w:val="24"/>
          <w:szCs w:val="24"/>
        </w:rPr>
        <w:t xml:space="preserve">las </w:t>
      </w:r>
      <w:r w:rsidR="0076794F" w:rsidRPr="005F28DB">
        <w:rPr>
          <w:rFonts w:ascii="Times New Roman" w:hAnsi="Times New Roman" w:cs="Times New Roman"/>
          <w:sz w:val="24"/>
          <w:szCs w:val="24"/>
        </w:rPr>
        <w:t xml:space="preserve">reformas y </w:t>
      </w:r>
      <w:r w:rsidRPr="005F28DB">
        <w:rPr>
          <w:rFonts w:ascii="Times New Roman" w:hAnsi="Times New Roman" w:cs="Times New Roman"/>
          <w:sz w:val="24"/>
          <w:szCs w:val="24"/>
        </w:rPr>
        <w:t xml:space="preserve">la </w:t>
      </w:r>
      <w:r w:rsidR="0076794F" w:rsidRPr="005F28DB">
        <w:rPr>
          <w:rFonts w:ascii="Times New Roman" w:hAnsi="Times New Roman" w:cs="Times New Roman"/>
          <w:sz w:val="24"/>
          <w:szCs w:val="24"/>
        </w:rPr>
        <w:t>adición al código procesal penal y al código penal vigente a partir del 22 de abril de 2009</w:t>
      </w:r>
      <w:r w:rsidR="000A6755" w:rsidRPr="005F28DB">
        <w:rPr>
          <w:rFonts w:ascii="Times New Roman" w:hAnsi="Times New Roman" w:cs="Times New Roman"/>
          <w:sz w:val="24"/>
          <w:szCs w:val="24"/>
        </w:rPr>
        <w:t xml:space="preserve">.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DB049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Se ha legislado sobre el hostigamiento sexual en el empleo y la docencia, mediante ley emitida en marzo de 1995</w:t>
      </w:r>
      <w:r w:rsidR="00B01097" w:rsidRPr="005F28DB">
        <w:rPr>
          <w:rFonts w:ascii="Times New Roman" w:hAnsi="Times New Roman" w:cs="Times New Roman"/>
          <w:sz w:val="24"/>
          <w:szCs w:val="24"/>
        </w:rPr>
        <w:t xml:space="preserve"> ampliando su espectro de aplicación a funcionarios electos por voto popular</w:t>
      </w:r>
      <w:r w:rsidRPr="005F28DB">
        <w:rPr>
          <w:rFonts w:ascii="Times New Roman" w:hAnsi="Times New Roman" w:cs="Times New Roman"/>
          <w:sz w:val="24"/>
          <w:szCs w:val="24"/>
        </w:rPr>
        <w:t>.</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724442"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lastRenderedPageBreak/>
        <w:t>A</w:t>
      </w:r>
      <w:r w:rsidR="003D6EFF" w:rsidRPr="005F28DB">
        <w:rPr>
          <w:rFonts w:ascii="Times New Roman" w:hAnsi="Times New Roman" w:cs="Times New Roman"/>
          <w:sz w:val="24"/>
          <w:szCs w:val="24"/>
        </w:rPr>
        <w:t>l analizar los informes de país, é</w:t>
      </w:r>
      <w:r w:rsidRPr="005F28DB">
        <w:rPr>
          <w:rFonts w:ascii="Times New Roman" w:hAnsi="Times New Roman" w:cs="Times New Roman"/>
          <w:sz w:val="24"/>
          <w:szCs w:val="24"/>
        </w:rPr>
        <w:t xml:space="preserve">stos dan cuenta que </w:t>
      </w:r>
      <w:r w:rsidR="00DB0490" w:rsidRPr="005F28DB">
        <w:rPr>
          <w:rFonts w:ascii="Times New Roman" w:hAnsi="Times New Roman" w:cs="Times New Roman"/>
          <w:sz w:val="24"/>
          <w:szCs w:val="24"/>
        </w:rPr>
        <w:t xml:space="preserve">si bien se han dado pasos importantes en la generación de normativas legales, </w:t>
      </w:r>
      <w:r w:rsidR="00591C41" w:rsidRPr="005F28DB">
        <w:rPr>
          <w:rFonts w:ascii="Times New Roman" w:hAnsi="Times New Roman" w:cs="Times New Roman"/>
          <w:sz w:val="24"/>
          <w:szCs w:val="24"/>
        </w:rPr>
        <w:t xml:space="preserve">aún no se ha armonizado por completo el marco jurídico relativo a la prevención y sanción de la violencia contra las mujeres en </w:t>
      </w:r>
      <w:r w:rsidRPr="005F28DB">
        <w:rPr>
          <w:rFonts w:ascii="Times New Roman" w:hAnsi="Times New Roman" w:cs="Times New Roman"/>
          <w:sz w:val="24"/>
          <w:szCs w:val="24"/>
        </w:rPr>
        <w:t xml:space="preserve">el orden de </w:t>
      </w:r>
      <w:r w:rsidR="00591C41" w:rsidRPr="005F28DB">
        <w:rPr>
          <w:rFonts w:ascii="Times New Roman" w:hAnsi="Times New Roman" w:cs="Times New Roman"/>
          <w:sz w:val="24"/>
          <w:szCs w:val="24"/>
        </w:rPr>
        <w:t>l</w:t>
      </w:r>
      <w:r w:rsidRPr="005F28DB">
        <w:rPr>
          <w:rFonts w:ascii="Times New Roman" w:hAnsi="Times New Roman" w:cs="Times New Roman"/>
          <w:sz w:val="24"/>
          <w:szCs w:val="24"/>
        </w:rPr>
        <w:t>a</w:t>
      </w:r>
      <w:r w:rsidR="00C31F04" w:rsidRPr="005F28DB">
        <w:rPr>
          <w:rFonts w:ascii="Times New Roman" w:hAnsi="Times New Roman" w:cs="Times New Roman"/>
          <w:sz w:val="24"/>
          <w:szCs w:val="24"/>
        </w:rPr>
        <w:t>s recomendaciones del Comité de  Expertas</w:t>
      </w:r>
      <w:r w:rsidR="00591C41" w:rsidRPr="005F28DB">
        <w:rPr>
          <w:rFonts w:ascii="Times New Roman" w:hAnsi="Times New Roman" w:cs="Times New Roman"/>
          <w:sz w:val="24"/>
          <w:szCs w:val="24"/>
        </w:rPr>
        <w:t xml:space="preserve"> (CEV</w:t>
      </w:r>
      <w:r w:rsidR="00C31F04" w:rsidRPr="005F28DB">
        <w:rPr>
          <w:rFonts w:ascii="Times New Roman" w:hAnsi="Times New Roman" w:cs="Times New Roman"/>
          <w:sz w:val="24"/>
          <w:szCs w:val="24"/>
        </w:rPr>
        <w:t>I) del Mecanismo de S</w:t>
      </w:r>
      <w:r w:rsidR="00591C41" w:rsidRPr="005F28DB">
        <w:rPr>
          <w:rFonts w:ascii="Times New Roman" w:hAnsi="Times New Roman" w:cs="Times New Roman"/>
          <w:sz w:val="24"/>
          <w:szCs w:val="24"/>
        </w:rPr>
        <w:t>eguimiento (MESECVI)</w:t>
      </w:r>
      <w:r w:rsidR="003D6EFF" w:rsidRPr="005F28DB">
        <w:rPr>
          <w:rFonts w:ascii="Times New Roman" w:hAnsi="Times New Roman" w:cs="Times New Roman"/>
          <w:sz w:val="24"/>
          <w:szCs w:val="24"/>
        </w:rPr>
        <w:t xml:space="preserve">. En el primero capítulo sobre legislación, el Comité </w:t>
      </w:r>
      <w:r w:rsidR="0004168B" w:rsidRPr="005F28DB">
        <w:rPr>
          <w:rFonts w:ascii="Times New Roman" w:hAnsi="Times New Roman" w:cs="Times New Roman"/>
          <w:sz w:val="24"/>
          <w:szCs w:val="24"/>
        </w:rPr>
        <w:t xml:space="preserve">exhorta </w:t>
      </w:r>
      <w:r w:rsidR="00BC3740" w:rsidRPr="005F28DB">
        <w:rPr>
          <w:rFonts w:ascii="Times New Roman" w:hAnsi="Times New Roman" w:cs="Times New Roman"/>
          <w:sz w:val="24"/>
          <w:szCs w:val="24"/>
        </w:rPr>
        <w:t xml:space="preserve">a los Estados miembros </w:t>
      </w:r>
      <w:r w:rsidRPr="005F28DB">
        <w:rPr>
          <w:rFonts w:ascii="Times New Roman" w:hAnsi="Times New Roman" w:cs="Times New Roman"/>
          <w:sz w:val="24"/>
          <w:szCs w:val="24"/>
        </w:rPr>
        <w:t xml:space="preserve">a que </w:t>
      </w:r>
      <w:r w:rsidR="00BC3740" w:rsidRPr="005F28DB">
        <w:rPr>
          <w:rFonts w:ascii="Times New Roman" w:hAnsi="Times New Roman" w:cs="Times New Roman"/>
          <w:sz w:val="24"/>
          <w:szCs w:val="24"/>
        </w:rPr>
        <w:t xml:space="preserve">armonicen la legislación tomando en cuenta las definiciones oficiales de este  instrumento internacional,  además </w:t>
      </w:r>
      <w:r w:rsidRPr="005F28DB">
        <w:rPr>
          <w:rFonts w:ascii="Times New Roman" w:hAnsi="Times New Roman" w:cs="Times New Roman"/>
          <w:sz w:val="24"/>
          <w:szCs w:val="24"/>
        </w:rPr>
        <w:t xml:space="preserve">de </w:t>
      </w:r>
      <w:r w:rsidR="00BC3740" w:rsidRPr="005F28DB">
        <w:rPr>
          <w:rFonts w:ascii="Times New Roman" w:hAnsi="Times New Roman" w:cs="Times New Roman"/>
          <w:sz w:val="24"/>
          <w:szCs w:val="24"/>
        </w:rPr>
        <w:t>elevar a categoría de delito tipos penales</w:t>
      </w:r>
      <w:r w:rsidRPr="005F28DB">
        <w:rPr>
          <w:rFonts w:ascii="Times New Roman" w:hAnsi="Times New Roman" w:cs="Times New Roman"/>
          <w:sz w:val="24"/>
          <w:szCs w:val="24"/>
        </w:rPr>
        <w:t xml:space="preserve"> las conductas </w:t>
      </w:r>
      <w:r w:rsidR="00BC3740" w:rsidRPr="005F28DB">
        <w:rPr>
          <w:rFonts w:ascii="Times New Roman" w:hAnsi="Times New Roman" w:cs="Times New Roman"/>
          <w:sz w:val="24"/>
          <w:szCs w:val="24"/>
        </w:rPr>
        <w:t>que son abiertamente contrarias a una vida libre de violencia.</w:t>
      </w:r>
      <w:r w:rsidR="00A54980" w:rsidRPr="005F28DB">
        <w:rPr>
          <w:rFonts w:ascii="Times New Roman" w:hAnsi="Times New Roman" w:cs="Times New Roman"/>
          <w:sz w:val="24"/>
          <w:szCs w:val="24"/>
        </w:rPr>
        <w:t xml:space="preserve">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A5498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Este compromiso </w:t>
      </w:r>
      <w:r w:rsidR="00DB0490" w:rsidRPr="005F28DB">
        <w:rPr>
          <w:rFonts w:ascii="Times New Roman" w:hAnsi="Times New Roman" w:cs="Times New Roman"/>
          <w:sz w:val="24"/>
          <w:szCs w:val="24"/>
        </w:rPr>
        <w:t xml:space="preserve">además </w:t>
      </w:r>
      <w:r w:rsidRPr="005F28DB">
        <w:rPr>
          <w:rFonts w:ascii="Times New Roman" w:hAnsi="Times New Roman" w:cs="Times New Roman"/>
          <w:sz w:val="24"/>
          <w:szCs w:val="24"/>
        </w:rPr>
        <w:t xml:space="preserve">ha sido ratificado en </w:t>
      </w:r>
      <w:r w:rsidR="007A65BB" w:rsidRPr="005F28DB">
        <w:rPr>
          <w:rFonts w:ascii="Times New Roman" w:hAnsi="Times New Roman" w:cs="Times New Roman"/>
          <w:sz w:val="24"/>
          <w:szCs w:val="24"/>
        </w:rPr>
        <w:t xml:space="preserve">la </w:t>
      </w:r>
      <w:r w:rsidRPr="005F28DB">
        <w:rPr>
          <w:rFonts w:ascii="Times New Roman" w:hAnsi="Times New Roman" w:cs="Times New Roman"/>
          <w:sz w:val="24"/>
          <w:szCs w:val="24"/>
        </w:rPr>
        <w:t>Declaración de Pachuca, donde los Estados “reafirman la vigencia y urgencia de las disposiciones contenidas en la Convención Interamericana para Prevenir, Sancionar y Erradicar la Violencia contra la Mujer y de la Declaración y la Plataforma de Acción de la Cuarta Conferencia Mundial de la Mujer a la luz del vigésimo aniversario de ambas, incluyendo la necesidad de visibilizar todas la manifestaciones de la violencia”</w:t>
      </w:r>
      <w:r w:rsidRPr="005F28DB">
        <w:rPr>
          <w:rStyle w:val="FootnoteReference"/>
          <w:rFonts w:ascii="Times New Roman" w:hAnsi="Times New Roman" w:cs="Times New Roman"/>
          <w:sz w:val="24"/>
          <w:szCs w:val="24"/>
        </w:rPr>
        <w:footnoteReference w:id="2"/>
      </w:r>
    </w:p>
    <w:p w:rsidR="00832571" w:rsidRPr="005F28DB" w:rsidRDefault="00832571" w:rsidP="003D6EFF">
      <w:pPr>
        <w:pStyle w:val="ListParagraph"/>
        <w:spacing w:after="0" w:line="240" w:lineRule="auto"/>
        <w:rPr>
          <w:rFonts w:ascii="Times New Roman" w:hAnsi="Times New Roman" w:cs="Times New Roman"/>
          <w:sz w:val="24"/>
          <w:szCs w:val="24"/>
        </w:rPr>
      </w:pPr>
    </w:p>
    <w:p w:rsidR="00124C79" w:rsidRPr="005F28DB" w:rsidRDefault="00BC374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ese orden de ideas</w:t>
      </w:r>
      <w:r w:rsidR="00124C79" w:rsidRPr="005F28DB">
        <w:rPr>
          <w:rFonts w:ascii="Times New Roman" w:hAnsi="Times New Roman" w:cs="Times New Roman"/>
          <w:sz w:val="24"/>
          <w:szCs w:val="24"/>
        </w:rPr>
        <w:t xml:space="preserve">, </w:t>
      </w:r>
      <w:r w:rsidRPr="005F28DB">
        <w:rPr>
          <w:rFonts w:ascii="Times New Roman" w:hAnsi="Times New Roman" w:cs="Times New Roman"/>
          <w:sz w:val="24"/>
          <w:szCs w:val="24"/>
        </w:rPr>
        <w:t>se observa</w:t>
      </w:r>
      <w:r w:rsidR="00124C79" w:rsidRPr="005F28DB">
        <w:rPr>
          <w:rFonts w:ascii="Times New Roman" w:hAnsi="Times New Roman" w:cs="Times New Roman"/>
          <w:sz w:val="24"/>
          <w:szCs w:val="24"/>
        </w:rPr>
        <w:t xml:space="preserve"> cinco </w:t>
      </w:r>
      <w:r w:rsidR="006D4939" w:rsidRPr="005F28DB">
        <w:rPr>
          <w:rFonts w:ascii="Times New Roman" w:hAnsi="Times New Roman" w:cs="Times New Roman"/>
          <w:sz w:val="24"/>
          <w:szCs w:val="24"/>
        </w:rPr>
        <w:t xml:space="preserve">temas </w:t>
      </w:r>
      <w:r w:rsidR="00124C79" w:rsidRPr="005F28DB">
        <w:rPr>
          <w:rFonts w:ascii="Times New Roman" w:hAnsi="Times New Roman" w:cs="Times New Roman"/>
          <w:sz w:val="24"/>
          <w:szCs w:val="24"/>
        </w:rPr>
        <w:t xml:space="preserve">que </w:t>
      </w:r>
      <w:r w:rsidR="00EE3AAA" w:rsidRPr="005F28DB">
        <w:rPr>
          <w:rFonts w:ascii="Times New Roman" w:hAnsi="Times New Roman" w:cs="Times New Roman"/>
          <w:sz w:val="24"/>
          <w:szCs w:val="24"/>
        </w:rPr>
        <w:t xml:space="preserve">requieren </w:t>
      </w:r>
      <w:r w:rsidR="00DB0490" w:rsidRPr="005F28DB">
        <w:rPr>
          <w:rFonts w:ascii="Times New Roman" w:hAnsi="Times New Roman" w:cs="Times New Roman"/>
          <w:sz w:val="24"/>
          <w:szCs w:val="24"/>
        </w:rPr>
        <w:t>tanto</w:t>
      </w:r>
      <w:r w:rsidR="006D4939" w:rsidRPr="005F28DB">
        <w:rPr>
          <w:rFonts w:ascii="Times New Roman" w:hAnsi="Times New Roman" w:cs="Times New Roman"/>
          <w:sz w:val="24"/>
          <w:szCs w:val="24"/>
        </w:rPr>
        <w:t xml:space="preserve"> la producción de normativa específica</w:t>
      </w:r>
      <w:r w:rsidR="00C81D06" w:rsidRPr="005F28DB">
        <w:rPr>
          <w:rFonts w:ascii="Times New Roman" w:hAnsi="Times New Roman" w:cs="Times New Roman"/>
          <w:sz w:val="24"/>
          <w:szCs w:val="24"/>
        </w:rPr>
        <w:t>,</w:t>
      </w:r>
      <w:r w:rsidR="006D4939" w:rsidRPr="005F28DB">
        <w:rPr>
          <w:rFonts w:ascii="Times New Roman" w:hAnsi="Times New Roman" w:cs="Times New Roman"/>
          <w:sz w:val="24"/>
          <w:szCs w:val="24"/>
        </w:rPr>
        <w:t xml:space="preserve"> </w:t>
      </w:r>
      <w:r w:rsidR="00DB0490" w:rsidRPr="005F28DB">
        <w:rPr>
          <w:rFonts w:ascii="Times New Roman" w:hAnsi="Times New Roman" w:cs="Times New Roman"/>
          <w:sz w:val="24"/>
          <w:szCs w:val="24"/>
        </w:rPr>
        <w:t>como la ampliación de las disposiciones legales vigentes que permitan visibilizar con categorías jurídicas</w:t>
      </w:r>
      <w:r w:rsidR="006D4939" w:rsidRPr="005F28DB">
        <w:rPr>
          <w:rFonts w:ascii="Times New Roman" w:hAnsi="Times New Roman" w:cs="Times New Roman"/>
          <w:sz w:val="24"/>
          <w:szCs w:val="24"/>
        </w:rPr>
        <w:t xml:space="preserve"> </w:t>
      </w:r>
      <w:r w:rsidR="00124C79" w:rsidRPr="005F28DB">
        <w:rPr>
          <w:rFonts w:ascii="Times New Roman" w:hAnsi="Times New Roman" w:cs="Times New Roman"/>
          <w:sz w:val="24"/>
          <w:szCs w:val="24"/>
        </w:rPr>
        <w:t xml:space="preserve">derechos y deberes </w:t>
      </w:r>
      <w:r w:rsidR="00B7334F" w:rsidRPr="005F28DB">
        <w:rPr>
          <w:rFonts w:ascii="Times New Roman" w:hAnsi="Times New Roman" w:cs="Times New Roman"/>
          <w:sz w:val="24"/>
          <w:szCs w:val="24"/>
        </w:rPr>
        <w:t>garantizados por el Estado y aplicados a</w:t>
      </w:r>
      <w:r w:rsidR="00124C79" w:rsidRPr="005F28DB">
        <w:rPr>
          <w:rFonts w:ascii="Times New Roman" w:hAnsi="Times New Roman" w:cs="Times New Roman"/>
          <w:sz w:val="24"/>
          <w:szCs w:val="24"/>
        </w:rPr>
        <w:t xml:space="preserve"> </w:t>
      </w:r>
      <w:r w:rsidR="006D4939" w:rsidRPr="005F28DB">
        <w:rPr>
          <w:rFonts w:ascii="Times New Roman" w:hAnsi="Times New Roman" w:cs="Times New Roman"/>
          <w:sz w:val="24"/>
          <w:szCs w:val="24"/>
        </w:rPr>
        <w:t>todos los sectores d</w:t>
      </w:r>
      <w:r w:rsidR="00124C79" w:rsidRPr="005F28DB">
        <w:rPr>
          <w:rFonts w:ascii="Times New Roman" w:hAnsi="Times New Roman" w:cs="Times New Roman"/>
          <w:sz w:val="24"/>
          <w:szCs w:val="24"/>
        </w:rPr>
        <w:t>el tejido social.</w:t>
      </w:r>
    </w:p>
    <w:p w:rsidR="003D6EFF" w:rsidRPr="005F28DB" w:rsidRDefault="003D6EFF" w:rsidP="003D6EFF">
      <w:pPr>
        <w:spacing w:after="0" w:line="240" w:lineRule="auto"/>
        <w:jc w:val="both"/>
        <w:rPr>
          <w:rFonts w:ascii="Times New Roman" w:hAnsi="Times New Roman" w:cs="Times New Roman"/>
          <w:sz w:val="24"/>
          <w:szCs w:val="24"/>
        </w:rPr>
      </w:pPr>
    </w:p>
    <w:p w:rsidR="003D6EFF" w:rsidRPr="005F28DB" w:rsidRDefault="00B7334F" w:rsidP="003D6EFF">
      <w:p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Estas temáticas son:</w:t>
      </w:r>
    </w:p>
    <w:p w:rsidR="003D6EFF" w:rsidRPr="005F28DB" w:rsidRDefault="003D6EFF" w:rsidP="003D6EFF">
      <w:pPr>
        <w:spacing w:after="0" w:line="240" w:lineRule="auto"/>
        <w:jc w:val="both"/>
        <w:rPr>
          <w:rFonts w:ascii="Times New Roman" w:hAnsi="Times New Roman" w:cs="Times New Roman"/>
          <w:b/>
          <w:sz w:val="24"/>
          <w:szCs w:val="24"/>
        </w:rPr>
      </w:pPr>
    </w:p>
    <w:p w:rsidR="00832571" w:rsidRPr="005F28DB" w:rsidRDefault="00124C79"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L</w:t>
      </w:r>
      <w:r w:rsidR="00BC3740" w:rsidRPr="005F28DB">
        <w:rPr>
          <w:rFonts w:ascii="Times New Roman" w:hAnsi="Times New Roman" w:cs="Times New Roman"/>
          <w:sz w:val="24"/>
          <w:szCs w:val="24"/>
        </w:rPr>
        <w:t xml:space="preserve">a </w:t>
      </w:r>
      <w:r w:rsidRPr="005F28DB">
        <w:rPr>
          <w:rFonts w:ascii="Times New Roman" w:hAnsi="Times New Roman" w:cs="Times New Roman"/>
          <w:sz w:val="24"/>
          <w:szCs w:val="24"/>
        </w:rPr>
        <w:t xml:space="preserve">tipificación de la </w:t>
      </w:r>
      <w:r w:rsidR="00BC3740" w:rsidRPr="005F28DB">
        <w:rPr>
          <w:rFonts w:ascii="Times New Roman" w:hAnsi="Times New Roman" w:cs="Times New Roman"/>
          <w:sz w:val="24"/>
          <w:szCs w:val="24"/>
        </w:rPr>
        <w:t xml:space="preserve">violencia </w:t>
      </w:r>
      <w:r w:rsidR="00A54980" w:rsidRPr="005F28DB">
        <w:rPr>
          <w:rFonts w:ascii="Times New Roman" w:hAnsi="Times New Roman" w:cs="Times New Roman"/>
          <w:sz w:val="24"/>
          <w:szCs w:val="24"/>
        </w:rPr>
        <w:t>institucional</w:t>
      </w:r>
      <w:r w:rsidR="00BC3740" w:rsidRPr="005F28DB">
        <w:rPr>
          <w:rFonts w:ascii="Times New Roman" w:hAnsi="Times New Roman" w:cs="Times New Roman"/>
          <w:sz w:val="24"/>
          <w:szCs w:val="24"/>
        </w:rPr>
        <w:t xml:space="preserve"> </w:t>
      </w:r>
      <w:r w:rsidR="0004168B" w:rsidRPr="005F28DB">
        <w:rPr>
          <w:rFonts w:ascii="Times New Roman" w:hAnsi="Times New Roman" w:cs="Times New Roman"/>
          <w:sz w:val="24"/>
          <w:szCs w:val="24"/>
        </w:rPr>
        <w:t>se</w:t>
      </w:r>
      <w:r w:rsidR="00BC3740" w:rsidRPr="005F28DB">
        <w:rPr>
          <w:rFonts w:ascii="Times New Roman" w:hAnsi="Times New Roman" w:cs="Times New Roman"/>
          <w:sz w:val="24"/>
          <w:szCs w:val="24"/>
        </w:rPr>
        <w:t>a que proven</w:t>
      </w:r>
      <w:r w:rsidR="0004168B" w:rsidRPr="005F28DB">
        <w:rPr>
          <w:rFonts w:ascii="Times New Roman" w:hAnsi="Times New Roman" w:cs="Times New Roman"/>
          <w:sz w:val="24"/>
          <w:szCs w:val="24"/>
        </w:rPr>
        <w:t>ga</w:t>
      </w:r>
      <w:r w:rsidR="00BC3740" w:rsidRPr="005F28DB">
        <w:rPr>
          <w:rFonts w:ascii="Times New Roman" w:hAnsi="Times New Roman" w:cs="Times New Roman"/>
          <w:sz w:val="24"/>
          <w:szCs w:val="24"/>
        </w:rPr>
        <w:t xml:space="preserve"> de agentes del Estado </w:t>
      </w:r>
      <w:r w:rsidR="00A54980" w:rsidRPr="005F28DB">
        <w:rPr>
          <w:rFonts w:ascii="Times New Roman" w:hAnsi="Times New Roman" w:cs="Times New Roman"/>
          <w:sz w:val="24"/>
          <w:szCs w:val="24"/>
        </w:rPr>
        <w:t xml:space="preserve">mediante </w:t>
      </w:r>
      <w:r w:rsidR="00BC3740" w:rsidRPr="005F28DB">
        <w:rPr>
          <w:rFonts w:ascii="Times New Roman" w:hAnsi="Times New Roman" w:cs="Times New Roman"/>
          <w:sz w:val="24"/>
          <w:szCs w:val="24"/>
        </w:rPr>
        <w:t xml:space="preserve"> acción u omisión</w:t>
      </w:r>
      <w:r w:rsidRPr="005F28DB">
        <w:rPr>
          <w:rFonts w:ascii="Times New Roman" w:hAnsi="Times New Roman" w:cs="Times New Roman"/>
          <w:sz w:val="24"/>
          <w:szCs w:val="24"/>
        </w:rPr>
        <w:t>,</w:t>
      </w:r>
      <w:r w:rsidR="0004168B" w:rsidRPr="005F28DB">
        <w:rPr>
          <w:rFonts w:ascii="Times New Roman" w:hAnsi="Times New Roman" w:cs="Times New Roman"/>
          <w:sz w:val="24"/>
          <w:szCs w:val="24"/>
        </w:rPr>
        <w:t xml:space="preserve"> o tolera</w:t>
      </w:r>
      <w:r w:rsidR="007A65BB" w:rsidRPr="005F28DB">
        <w:rPr>
          <w:rFonts w:ascii="Times New Roman" w:hAnsi="Times New Roman" w:cs="Times New Roman"/>
          <w:sz w:val="24"/>
          <w:szCs w:val="24"/>
        </w:rPr>
        <w:t>da</w:t>
      </w:r>
      <w:r w:rsidR="003D6EFF" w:rsidRPr="005F28DB">
        <w:rPr>
          <w:rFonts w:ascii="Times New Roman" w:hAnsi="Times New Roman" w:cs="Times New Roman"/>
          <w:sz w:val="24"/>
          <w:szCs w:val="24"/>
        </w:rPr>
        <w:t xml:space="preserve"> por aquéllos</w:t>
      </w:r>
      <w:r w:rsidRPr="005F28DB">
        <w:rPr>
          <w:rFonts w:ascii="Times New Roman" w:hAnsi="Times New Roman" w:cs="Times New Roman"/>
          <w:sz w:val="24"/>
          <w:szCs w:val="24"/>
        </w:rPr>
        <w:t>;</w:t>
      </w:r>
      <w:r w:rsidR="00A54980" w:rsidRPr="005F28DB">
        <w:rPr>
          <w:rFonts w:ascii="Times New Roman" w:hAnsi="Times New Roman" w:cs="Times New Roman"/>
          <w:sz w:val="24"/>
          <w:szCs w:val="24"/>
        </w:rPr>
        <w:t xml:space="preserve"> </w:t>
      </w:r>
      <w:r w:rsidRPr="005F28DB">
        <w:rPr>
          <w:rFonts w:ascii="Times New Roman" w:hAnsi="Times New Roman" w:cs="Times New Roman"/>
          <w:sz w:val="24"/>
          <w:szCs w:val="24"/>
        </w:rPr>
        <w:t>la ausencia de la normativa</w:t>
      </w:r>
      <w:r w:rsidR="007A65BB" w:rsidRPr="005F28DB">
        <w:rPr>
          <w:rFonts w:ascii="Times New Roman" w:hAnsi="Times New Roman" w:cs="Times New Roman"/>
          <w:sz w:val="24"/>
          <w:szCs w:val="24"/>
        </w:rPr>
        <w:t xml:space="preserve"> no solo </w:t>
      </w:r>
      <w:r w:rsidRPr="005F28DB">
        <w:rPr>
          <w:rFonts w:ascii="Times New Roman" w:hAnsi="Times New Roman" w:cs="Times New Roman"/>
          <w:sz w:val="24"/>
          <w:szCs w:val="24"/>
        </w:rPr>
        <w:t xml:space="preserve"> </w:t>
      </w:r>
      <w:r w:rsidR="00A54980" w:rsidRPr="005F28DB">
        <w:rPr>
          <w:rFonts w:ascii="Times New Roman" w:hAnsi="Times New Roman" w:cs="Times New Roman"/>
          <w:sz w:val="24"/>
          <w:szCs w:val="24"/>
        </w:rPr>
        <w:t>impide un real acceso a la justicia</w:t>
      </w:r>
      <w:r w:rsidR="007A65BB" w:rsidRPr="005F28DB">
        <w:rPr>
          <w:rFonts w:ascii="Times New Roman" w:hAnsi="Times New Roman" w:cs="Times New Roman"/>
          <w:sz w:val="24"/>
          <w:szCs w:val="24"/>
        </w:rPr>
        <w:t xml:space="preserve"> sino que genera impunidad</w:t>
      </w:r>
      <w:r w:rsidR="00A54980" w:rsidRPr="005F28DB">
        <w:rPr>
          <w:rFonts w:ascii="Times New Roman" w:hAnsi="Times New Roman" w:cs="Times New Roman"/>
          <w:sz w:val="24"/>
          <w:szCs w:val="24"/>
        </w:rPr>
        <w:t xml:space="preserve">. </w:t>
      </w:r>
    </w:p>
    <w:p w:rsidR="00832571" w:rsidRPr="005F28DB" w:rsidRDefault="00832571" w:rsidP="003D6EFF">
      <w:pPr>
        <w:pStyle w:val="ListParagraph"/>
        <w:spacing w:after="0" w:line="240" w:lineRule="auto"/>
        <w:jc w:val="both"/>
        <w:rPr>
          <w:rFonts w:ascii="Times New Roman" w:hAnsi="Times New Roman" w:cs="Times New Roman"/>
          <w:sz w:val="24"/>
          <w:szCs w:val="24"/>
        </w:rPr>
      </w:pPr>
    </w:p>
    <w:p w:rsidR="00832571" w:rsidRPr="005F28DB" w:rsidRDefault="00AE20E3"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P</w:t>
      </w:r>
      <w:r w:rsidR="00A54980" w:rsidRPr="005F28DB">
        <w:rPr>
          <w:rFonts w:ascii="Times New Roman" w:hAnsi="Times New Roman" w:cs="Times New Roman"/>
          <w:sz w:val="24"/>
          <w:szCs w:val="24"/>
        </w:rPr>
        <w:t>enaliza</w:t>
      </w:r>
      <w:r w:rsidR="00CA2F23" w:rsidRPr="005F28DB">
        <w:rPr>
          <w:rFonts w:ascii="Times New Roman" w:hAnsi="Times New Roman" w:cs="Times New Roman"/>
          <w:sz w:val="24"/>
          <w:szCs w:val="24"/>
        </w:rPr>
        <w:t xml:space="preserve">ción </w:t>
      </w:r>
      <w:r w:rsidR="0004168B" w:rsidRPr="005F28DB">
        <w:rPr>
          <w:rFonts w:ascii="Times New Roman" w:hAnsi="Times New Roman" w:cs="Times New Roman"/>
          <w:sz w:val="24"/>
          <w:szCs w:val="24"/>
        </w:rPr>
        <w:t>d</w:t>
      </w:r>
      <w:r w:rsidR="00A54980" w:rsidRPr="005F28DB">
        <w:rPr>
          <w:rFonts w:ascii="Times New Roman" w:hAnsi="Times New Roman" w:cs="Times New Roman"/>
          <w:sz w:val="24"/>
          <w:szCs w:val="24"/>
        </w:rPr>
        <w:t xml:space="preserve">el femicidio </w:t>
      </w:r>
      <w:r w:rsidR="00124C79" w:rsidRPr="005F28DB">
        <w:rPr>
          <w:rFonts w:ascii="Times New Roman" w:hAnsi="Times New Roman" w:cs="Times New Roman"/>
          <w:sz w:val="24"/>
          <w:szCs w:val="24"/>
        </w:rPr>
        <w:t xml:space="preserve">amplio. Actualmente </w:t>
      </w:r>
      <w:r w:rsidR="00B7334F" w:rsidRPr="005F28DB">
        <w:rPr>
          <w:rFonts w:ascii="Times New Roman" w:hAnsi="Times New Roman" w:cs="Times New Roman"/>
          <w:sz w:val="24"/>
          <w:szCs w:val="24"/>
        </w:rPr>
        <w:t xml:space="preserve">en </w:t>
      </w:r>
      <w:r w:rsidR="007A65BB" w:rsidRPr="005F28DB">
        <w:rPr>
          <w:rFonts w:ascii="Times New Roman" w:hAnsi="Times New Roman" w:cs="Times New Roman"/>
          <w:sz w:val="24"/>
          <w:szCs w:val="24"/>
        </w:rPr>
        <w:t xml:space="preserve">la legislación nacional la conducta </w:t>
      </w:r>
      <w:r w:rsidR="00A54980" w:rsidRPr="005F28DB">
        <w:rPr>
          <w:rFonts w:ascii="Times New Roman" w:hAnsi="Times New Roman" w:cs="Times New Roman"/>
          <w:sz w:val="24"/>
          <w:szCs w:val="24"/>
        </w:rPr>
        <w:t>es perseguible cuando</w:t>
      </w:r>
      <w:r w:rsidR="0004168B" w:rsidRPr="005F28DB">
        <w:rPr>
          <w:rFonts w:ascii="Times New Roman" w:hAnsi="Times New Roman" w:cs="Times New Roman"/>
          <w:sz w:val="24"/>
          <w:szCs w:val="24"/>
        </w:rPr>
        <w:t xml:space="preserve"> </w:t>
      </w:r>
      <w:r w:rsidR="003D6EFF" w:rsidRPr="005F28DB">
        <w:rPr>
          <w:rFonts w:ascii="Times New Roman" w:hAnsi="Times New Roman" w:cs="Times New Roman"/>
          <w:sz w:val="24"/>
          <w:szCs w:val="24"/>
        </w:rPr>
        <w:t>se dé</w:t>
      </w:r>
      <w:r w:rsidR="00A54980" w:rsidRPr="005F28DB">
        <w:rPr>
          <w:rFonts w:ascii="Times New Roman" w:hAnsi="Times New Roman" w:cs="Times New Roman"/>
          <w:sz w:val="24"/>
          <w:szCs w:val="24"/>
        </w:rPr>
        <w:t xml:space="preserve"> en el ámbito de las relaciones de pareja</w:t>
      </w:r>
      <w:r w:rsidR="00124C79" w:rsidRPr="005F28DB">
        <w:rPr>
          <w:rFonts w:ascii="Times New Roman" w:hAnsi="Times New Roman" w:cs="Times New Roman"/>
          <w:sz w:val="24"/>
          <w:szCs w:val="24"/>
        </w:rPr>
        <w:t xml:space="preserve">. El Informe de Indicadores de Progreso reporta </w:t>
      </w:r>
      <w:r w:rsidR="007A65BB" w:rsidRPr="005F28DB">
        <w:rPr>
          <w:rFonts w:ascii="Times New Roman" w:hAnsi="Times New Roman" w:cs="Times New Roman"/>
          <w:sz w:val="24"/>
          <w:szCs w:val="24"/>
        </w:rPr>
        <w:t xml:space="preserve">que </w:t>
      </w:r>
      <w:r w:rsidR="00124C79" w:rsidRPr="005F28DB">
        <w:rPr>
          <w:rFonts w:ascii="Times New Roman" w:hAnsi="Times New Roman" w:cs="Times New Roman"/>
          <w:sz w:val="24"/>
          <w:szCs w:val="24"/>
        </w:rPr>
        <w:t xml:space="preserve">hay  </w:t>
      </w:r>
      <w:r w:rsidR="00A54980" w:rsidRPr="005F28DB">
        <w:rPr>
          <w:rFonts w:ascii="Times New Roman" w:hAnsi="Times New Roman" w:cs="Times New Roman"/>
          <w:sz w:val="24"/>
          <w:szCs w:val="24"/>
        </w:rPr>
        <w:t xml:space="preserve">un </w:t>
      </w:r>
      <w:r w:rsidR="0004168B" w:rsidRPr="005F28DB">
        <w:rPr>
          <w:rFonts w:ascii="Times New Roman" w:hAnsi="Times New Roman" w:cs="Times New Roman"/>
          <w:sz w:val="24"/>
          <w:szCs w:val="24"/>
        </w:rPr>
        <w:t>esfuerzo surgido de la Alianza INAMU-Poder Judicial para el registro</w:t>
      </w:r>
      <w:r w:rsidR="0004168B" w:rsidRPr="005F28DB">
        <w:rPr>
          <w:rFonts w:ascii="Times New Roman" w:hAnsi="Times New Roman" w:cs="Times New Roman"/>
          <w:b/>
          <w:sz w:val="24"/>
          <w:szCs w:val="24"/>
        </w:rPr>
        <w:t xml:space="preserve"> </w:t>
      </w:r>
      <w:r w:rsidR="0004168B" w:rsidRPr="005F28DB">
        <w:rPr>
          <w:rFonts w:ascii="Times New Roman" w:hAnsi="Times New Roman" w:cs="Times New Roman"/>
          <w:sz w:val="24"/>
          <w:szCs w:val="24"/>
        </w:rPr>
        <w:t xml:space="preserve">y persecución penal del concepto “Femicidio ampliado” (femicidio de conformidad con lo que establece Belem do Pará) aprobada en sesión del  20 </w:t>
      </w:r>
      <w:r w:rsidR="003D6EFF" w:rsidRPr="005F28DB">
        <w:rPr>
          <w:rFonts w:ascii="Times New Roman" w:hAnsi="Times New Roman" w:cs="Times New Roman"/>
          <w:sz w:val="24"/>
          <w:szCs w:val="24"/>
        </w:rPr>
        <w:t xml:space="preserve">de </w:t>
      </w:r>
      <w:r w:rsidR="0004168B" w:rsidRPr="005F28DB">
        <w:rPr>
          <w:rFonts w:ascii="Times New Roman" w:hAnsi="Times New Roman" w:cs="Times New Roman"/>
          <w:sz w:val="24"/>
          <w:szCs w:val="24"/>
        </w:rPr>
        <w:t>setiembre 2012</w:t>
      </w:r>
      <w:r w:rsidR="00BC3740" w:rsidRPr="005F28DB">
        <w:rPr>
          <w:rFonts w:ascii="Times New Roman" w:hAnsi="Times New Roman" w:cs="Times New Roman"/>
          <w:sz w:val="24"/>
          <w:szCs w:val="24"/>
        </w:rPr>
        <w:t xml:space="preserve"> </w:t>
      </w:r>
      <w:r w:rsidR="0004168B" w:rsidRPr="005F28DB">
        <w:rPr>
          <w:rFonts w:ascii="Times New Roman" w:hAnsi="Times New Roman" w:cs="Times New Roman"/>
          <w:sz w:val="24"/>
          <w:szCs w:val="24"/>
        </w:rPr>
        <w:t xml:space="preserve">del Consejo del Sistema Nacional para Prevención y Atención de la Violencia contra las Mujeres y </w:t>
      </w:r>
      <w:r w:rsidR="003D6EFF" w:rsidRPr="005F28DB">
        <w:rPr>
          <w:rFonts w:ascii="Times New Roman" w:hAnsi="Times New Roman" w:cs="Times New Roman"/>
          <w:sz w:val="24"/>
          <w:szCs w:val="24"/>
        </w:rPr>
        <w:t>Violencia Intrafamiliar</w:t>
      </w:r>
      <w:r w:rsidR="007918A3" w:rsidRPr="005F28DB">
        <w:rPr>
          <w:rStyle w:val="FootnoteReference"/>
          <w:rFonts w:ascii="Times New Roman" w:hAnsi="Times New Roman" w:cs="Times New Roman"/>
          <w:sz w:val="24"/>
          <w:szCs w:val="24"/>
        </w:rPr>
        <w:footnoteReference w:id="3"/>
      </w:r>
      <w:r w:rsidR="003D6EFF" w:rsidRPr="005F28DB">
        <w:rPr>
          <w:rFonts w:ascii="Times New Roman" w:hAnsi="Times New Roman" w:cs="Times New Roman"/>
          <w:sz w:val="24"/>
          <w:szCs w:val="24"/>
        </w:rPr>
        <w:t xml:space="preserve">. </w:t>
      </w:r>
      <w:r w:rsidR="00BC3740" w:rsidRPr="005F28DB">
        <w:rPr>
          <w:rFonts w:ascii="Times New Roman" w:hAnsi="Times New Roman" w:cs="Times New Roman"/>
          <w:sz w:val="24"/>
          <w:szCs w:val="24"/>
        </w:rPr>
        <w:t xml:space="preserve"> </w:t>
      </w:r>
      <w:r w:rsidR="003D6EFF" w:rsidRPr="005F28DB">
        <w:rPr>
          <w:rFonts w:ascii="Times New Roman" w:hAnsi="Times New Roman" w:cs="Times New Roman"/>
          <w:sz w:val="24"/>
          <w:szCs w:val="24"/>
        </w:rPr>
        <w:t>D</w:t>
      </w:r>
      <w:r w:rsidR="007918A3" w:rsidRPr="005F28DB">
        <w:rPr>
          <w:rFonts w:ascii="Times New Roman" w:hAnsi="Times New Roman" w:cs="Times New Roman"/>
          <w:sz w:val="24"/>
          <w:szCs w:val="24"/>
        </w:rPr>
        <w:t xml:space="preserve">icha iniciativa es insuficiente ya que no </w:t>
      </w:r>
      <w:r w:rsidR="00832571" w:rsidRPr="005F28DB">
        <w:rPr>
          <w:rFonts w:ascii="Times New Roman" w:hAnsi="Times New Roman" w:cs="Times New Roman"/>
          <w:sz w:val="24"/>
          <w:szCs w:val="24"/>
        </w:rPr>
        <w:t>amplía</w:t>
      </w:r>
      <w:r w:rsidR="007918A3" w:rsidRPr="005F28DB">
        <w:rPr>
          <w:rFonts w:ascii="Times New Roman" w:hAnsi="Times New Roman" w:cs="Times New Roman"/>
          <w:sz w:val="24"/>
          <w:szCs w:val="24"/>
        </w:rPr>
        <w:t xml:space="preserve"> el marco jurídico para la efectiva persecución como delito.</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124C79"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Prohibición de </w:t>
      </w:r>
      <w:r w:rsidR="00FE4B1D" w:rsidRPr="005F28DB">
        <w:rPr>
          <w:rFonts w:ascii="Times New Roman" w:hAnsi="Times New Roman" w:cs="Times New Roman"/>
          <w:sz w:val="24"/>
          <w:szCs w:val="24"/>
        </w:rPr>
        <w:t xml:space="preserve">manera expresa </w:t>
      </w:r>
      <w:r w:rsidR="003D6EFF" w:rsidRPr="005F28DB">
        <w:rPr>
          <w:rFonts w:ascii="Times New Roman" w:hAnsi="Times New Roman" w:cs="Times New Roman"/>
          <w:sz w:val="24"/>
          <w:szCs w:val="24"/>
        </w:rPr>
        <w:t>d</w:t>
      </w:r>
      <w:r w:rsidR="00FE4B1D" w:rsidRPr="005F28DB">
        <w:rPr>
          <w:rFonts w:ascii="Times New Roman" w:hAnsi="Times New Roman" w:cs="Times New Roman"/>
          <w:sz w:val="24"/>
          <w:szCs w:val="24"/>
        </w:rPr>
        <w:t>el uso del método de conciliación en materia de violencia contra las mujeres</w:t>
      </w:r>
      <w:r w:rsidRPr="005F28DB">
        <w:rPr>
          <w:rFonts w:ascii="Times New Roman" w:hAnsi="Times New Roman" w:cs="Times New Roman"/>
          <w:sz w:val="24"/>
          <w:szCs w:val="24"/>
        </w:rPr>
        <w:t xml:space="preserve">. </w:t>
      </w:r>
      <w:r w:rsidR="00CD656B" w:rsidRPr="005F28DB">
        <w:rPr>
          <w:rFonts w:ascii="Times New Roman" w:hAnsi="Times New Roman" w:cs="Times New Roman"/>
          <w:sz w:val="24"/>
          <w:szCs w:val="24"/>
        </w:rPr>
        <w:t>L</w:t>
      </w:r>
      <w:r w:rsidR="00CA2F23" w:rsidRPr="005F28DB">
        <w:rPr>
          <w:rFonts w:ascii="Times New Roman" w:hAnsi="Times New Roman" w:cs="Times New Roman"/>
          <w:sz w:val="24"/>
          <w:szCs w:val="24"/>
        </w:rPr>
        <w:t xml:space="preserve">a norma </w:t>
      </w:r>
      <w:r w:rsidRPr="005F28DB">
        <w:rPr>
          <w:rFonts w:ascii="Times New Roman" w:hAnsi="Times New Roman" w:cs="Times New Roman"/>
          <w:sz w:val="24"/>
          <w:szCs w:val="24"/>
        </w:rPr>
        <w:t xml:space="preserve"> vigen</w:t>
      </w:r>
      <w:r w:rsidR="00B7334F" w:rsidRPr="005F28DB">
        <w:rPr>
          <w:rFonts w:ascii="Times New Roman" w:hAnsi="Times New Roman" w:cs="Times New Roman"/>
          <w:sz w:val="24"/>
          <w:szCs w:val="24"/>
        </w:rPr>
        <w:t>te</w:t>
      </w:r>
      <w:r w:rsidRPr="005F28DB">
        <w:rPr>
          <w:rFonts w:ascii="Times New Roman" w:hAnsi="Times New Roman" w:cs="Times New Roman"/>
          <w:sz w:val="24"/>
          <w:szCs w:val="24"/>
        </w:rPr>
        <w:t xml:space="preserve"> </w:t>
      </w:r>
      <w:r w:rsidR="00CA2F23" w:rsidRPr="005F28DB">
        <w:rPr>
          <w:rFonts w:ascii="Times New Roman" w:hAnsi="Times New Roman" w:cs="Times New Roman"/>
          <w:sz w:val="24"/>
          <w:szCs w:val="24"/>
        </w:rPr>
        <w:t xml:space="preserve">abre la oportunidad para que se pacte </w:t>
      </w:r>
      <w:r w:rsidRPr="005F28DB">
        <w:rPr>
          <w:rFonts w:ascii="Times New Roman" w:hAnsi="Times New Roman" w:cs="Times New Roman"/>
          <w:sz w:val="24"/>
          <w:szCs w:val="24"/>
        </w:rPr>
        <w:lastRenderedPageBreak/>
        <w:t>la conciliación co</w:t>
      </w:r>
      <w:r w:rsidR="00CA2F23" w:rsidRPr="005F28DB">
        <w:rPr>
          <w:rFonts w:ascii="Times New Roman" w:hAnsi="Times New Roman" w:cs="Times New Roman"/>
          <w:sz w:val="24"/>
          <w:szCs w:val="24"/>
        </w:rPr>
        <w:t>mo un método alterno de resolución extra judicial</w:t>
      </w:r>
      <w:r w:rsidR="003D6EFF" w:rsidRPr="005F28DB">
        <w:rPr>
          <w:rFonts w:ascii="Times New Roman" w:hAnsi="Times New Roman" w:cs="Times New Roman"/>
          <w:sz w:val="24"/>
          <w:szCs w:val="24"/>
        </w:rPr>
        <w:t>. L</w:t>
      </w:r>
      <w:r w:rsidR="00B7334F" w:rsidRPr="005F28DB">
        <w:rPr>
          <w:rFonts w:ascii="Times New Roman" w:hAnsi="Times New Roman" w:cs="Times New Roman"/>
          <w:sz w:val="24"/>
          <w:szCs w:val="24"/>
        </w:rPr>
        <w:t>os Informes reconocen esta debilidad de la norma y sus efectos perniciosos para la efectiva tutela de los derechos de las víctimas</w:t>
      </w:r>
      <w:r w:rsidR="00CA2F23" w:rsidRPr="005F28DB">
        <w:rPr>
          <w:rFonts w:ascii="Times New Roman" w:hAnsi="Times New Roman" w:cs="Times New Roman"/>
          <w:sz w:val="24"/>
          <w:szCs w:val="24"/>
        </w:rPr>
        <w:t>.</w:t>
      </w:r>
      <w:r w:rsidR="00B7334F" w:rsidRPr="005F28DB">
        <w:rPr>
          <w:rFonts w:ascii="Times New Roman" w:hAnsi="Times New Roman" w:cs="Times New Roman"/>
          <w:sz w:val="24"/>
          <w:szCs w:val="24"/>
        </w:rPr>
        <w:t xml:space="preserve">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3D6EFF"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Sobre las h</w:t>
      </w:r>
      <w:r w:rsidR="00C81D06" w:rsidRPr="005F28DB">
        <w:rPr>
          <w:rFonts w:ascii="Times New Roman" w:hAnsi="Times New Roman" w:cs="Times New Roman"/>
          <w:sz w:val="24"/>
          <w:szCs w:val="24"/>
        </w:rPr>
        <w:t xml:space="preserve">erramientas de monitoreo de la </w:t>
      </w:r>
      <w:r w:rsidR="00CA2F23" w:rsidRPr="005F28DB">
        <w:rPr>
          <w:rFonts w:ascii="Times New Roman" w:hAnsi="Times New Roman" w:cs="Times New Roman"/>
          <w:sz w:val="24"/>
          <w:szCs w:val="24"/>
        </w:rPr>
        <w:t>ley contra el hostigamiento sexual en el empleo, la docencia</w:t>
      </w:r>
      <w:r w:rsidR="00F5457C" w:rsidRPr="005F28DB">
        <w:rPr>
          <w:rFonts w:ascii="Times New Roman" w:hAnsi="Times New Roman" w:cs="Times New Roman"/>
          <w:sz w:val="24"/>
          <w:szCs w:val="24"/>
        </w:rPr>
        <w:t>, o cometida por funcionarios(as) que ocupen cargos de elección popular</w:t>
      </w:r>
      <w:r w:rsidR="00C81D06" w:rsidRPr="005F28DB">
        <w:rPr>
          <w:rFonts w:ascii="Times New Roman" w:hAnsi="Times New Roman" w:cs="Times New Roman"/>
          <w:sz w:val="24"/>
          <w:szCs w:val="24"/>
        </w:rPr>
        <w:t xml:space="preserve">, si bien hay un avance </w:t>
      </w:r>
      <w:r w:rsidRPr="005F28DB">
        <w:rPr>
          <w:rFonts w:ascii="Times New Roman" w:hAnsi="Times New Roman" w:cs="Times New Roman"/>
          <w:sz w:val="24"/>
          <w:szCs w:val="24"/>
        </w:rPr>
        <w:t xml:space="preserve">en </w:t>
      </w:r>
      <w:r w:rsidR="00C81D06" w:rsidRPr="005F28DB">
        <w:rPr>
          <w:rFonts w:ascii="Times New Roman" w:hAnsi="Times New Roman" w:cs="Times New Roman"/>
          <w:sz w:val="24"/>
          <w:szCs w:val="24"/>
        </w:rPr>
        <w:t xml:space="preserve">la regulación de la materia </w:t>
      </w:r>
      <w:r w:rsidR="001250C4" w:rsidRPr="005F28DB">
        <w:rPr>
          <w:rFonts w:ascii="Times New Roman" w:hAnsi="Times New Roman" w:cs="Times New Roman"/>
          <w:sz w:val="24"/>
          <w:szCs w:val="24"/>
        </w:rPr>
        <w:t>en el ámbito administrativo</w:t>
      </w:r>
      <w:r w:rsidR="00C71634" w:rsidRPr="005F28DB">
        <w:rPr>
          <w:rFonts w:ascii="Times New Roman" w:hAnsi="Times New Roman" w:cs="Times New Roman"/>
          <w:sz w:val="24"/>
          <w:szCs w:val="24"/>
        </w:rPr>
        <w:t xml:space="preserve">, </w:t>
      </w:r>
      <w:r w:rsidRPr="005F28DB">
        <w:rPr>
          <w:rFonts w:ascii="Times New Roman" w:hAnsi="Times New Roman" w:cs="Times New Roman"/>
          <w:sz w:val="24"/>
          <w:szCs w:val="24"/>
        </w:rPr>
        <w:t xml:space="preserve"> </w:t>
      </w:r>
      <w:r w:rsidR="00EE3AAA" w:rsidRPr="005F28DB">
        <w:rPr>
          <w:rFonts w:ascii="Times New Roman" w:hAnsi="Times New Roman" w:cs="Times New Roman"/>
          <w:sz w:val="24"/>
          <w:szCs w:val="24"/>
        </w:rPr>
        <w:t xml:space="preserve">la norma </w:t>
      </w:r>
      <w:r w:rsidR="00CA2F23" w:rsidRPr="005F28DB">
        <w:rPr>
          <w:rFonts w:ascii="Times New Roman" w:hAnsi="Times New Roman" w:cs="Times New Roman"/>
          <w:sz w:val="24"/>
          <w:szCs w:val="24"/>
        </w:rPr>
        <w:t xml:space="preserve">es de carácter general “neutra” </w:t>
      </w:r>
      <w:r w:rsidR="00EE3AAA" w:rsidRPr="005F28DB">
        <w:rPr>
          <w:rFonts w:ascii="Times New Roman" w:hAnsi="Times New Roman" w:cs="Times New Roman"/>
          <w:sz w:val="24"/>
          <w:szCs w:val="24"/>
        </w:rPr>
        <w:t xml:space="preserve">y </w:t>
      </w:r>
      <w:r w:rsidRPr="005F28DB">
        <w:rPr>
          <w:rFonts w:ascii="Times New Roman" w:hAnsi="Times New Roman" w:cs="Times New Roman"/>
          <w:sz w:val="24"/>
          <w:szCs w:val="24"/>
        </w:rPr>
        <w:t xml:space="preserve">por el momento, </w:t>
      </w:r>
      <w:r w:rsidR="00CD656B" w:rsidRPr="005F28DB">
        <w:rPr>
          <w:rFonts w:ascii="Times New Roman" w:hAnsi="Times New Roman" w:cs="Times New Roman"/>
          <w:sz w:val="24"/>
          <w:szCs w:val="24"/>
        </w:rPr>
        <w:t>la autoridad competente  no ha  presentado  las  experiencias o</w:t>
      </w:r>
      <w:r w:rsidR="00CA2F23" w:rsidRPr="005F28DB">
        <w:rPr>
          <w:rFonts w:ascii="Times New Roman" w:hAnsi="Times New Roman" w:cs="Times New Roman"/>
          <w:sz w:val="24"/>
          <w:szCs w:val="24"/>
        </w:rPr>
        <w:t xml:space="preserve"> la efectividad de su aplicación.</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EC164D"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No </w:t>
      </w:r>
      <w:r w:rsidR="00AE20E3" w:rsidRPr="005F28DB">
        <w:rPr>
          <w:rFonts w:ascii="Times New Roman" w:hAnsi="Times New Roman" w:cs="Times New Roman"/>
          <w:sz w:val="24"/>
          <w:szCs w:val="24"/>
        </w:rPr>
        <w:t>existe</w:t>
      </w:r>
      <w:r w:rsidRPr="005F28DB">
        <w:rPr>
          <w:rFonts w:ascii="Times New Roman" w:hAnsi="Times New Roman" w:cs="Times New Roman"/>
          <w:sz w:val="24"/>
          <w:szCs w:val="24"/>
        </w:rPr>
        <w:t xml:space="preserve"> un </w:t>
      </w:r>
      <w:r w:rsidR="00AE20E3" w:rsidRPr="005F28DB">
        <w:rPr>
          <w:rFonts w:ascii="Times New Roman" w:hAnsi="Times New Roman" w:cs="Times New Roman"/>
          <w:sz w:val="24"/>
          <w:szCs w:val="24"/>
        </w:rPr>
        <w:t>marco jurídico para la protección de los derechos sexuales y reproductivos</w:t>
      </w:r>
      <w:r w:rsidR="00F5457C" w:rsidRPr="005F28DB">
        <w:rPr>
          <w:rFonts w:ascii="Times New Roman" w:hAnsi="Times New Roman" w:cs="Times New Roman"/>
          <w:sz w:val="24"/>
          <w:szCs w:val="24"/>
        </w:rPr>
        <w:t>;</w:t>
      </w:r>
      <w:r w:rsidRPr="005F28DB">
        <w:rPr>
          <w:rFonts w:ascii="Times New Roman" w:hAnsi="Times New Roman" w:cs="Times New Roman"/>
          <w:sz w:val="24"/>
          <w:szCs w:val="24"/>
        </w:rPr>
        <w:t xml:space="preserve"> </w:t>
      </w:r>
      <w:r w:rsidR="008F7580" w:rsidRPr="005F28DB">
        <w:rPr>
          <w:rFonts w:ascii="Times New Roman" w:hAnsi="Times New Roman" w:cs="Times New Roman"/>
          <w:sz w:val="24"/>
          <w:szCs w:val="24"/>
        </w:rPr>
        <w:t xml:space="preserve"> </w:t>
      </w:r>
      <w:r w:rsidRPr="005F28DB">
        <w:rPr>
          <w:rFonts w:ascii="Times New Roman" w:hAnsi="Times New Roman" w:cs="Times New Roman"/>
          <w:sz w:val="24"/>
          <w:szCs w:val="24"/>
        </w:rPr>
        <w:t xml:space="preserve">tampoco se </w:t>
      </w:r>
      <w:r w:rsidR="00B25F31" w:rsidRPr="005F28DB">
        <w:rPr>
          <w:rFonts w:ascii="Times New Roman" w:hAnsi="Times New Roman" w:cs="Times New Roman"/>
          <w:sz w:val="24"/>
          <w:szCs w:val="24"/>
        </w:rPr>
        <w:t xml:space="preserve">ha </w:t>
      </w:r>
      <w:r w:rsidRPr="005F28DB">
        <w:rPr>
          <w:rFonts w:ascii="Times New Roman" w:hAnsi="Times New Roman" w:cs="Times New Roman"/>
          <w:sz w:val="24"/>
          <w:szCs w:val="24"/>
        </w:rPr>
        <w:t>reporta</w:t>
      </w:r>
      <w:r w:rsidR="00B25F31" w:rsidRPr="005F28DB">
        <w:rPr>
          <w:rFonts w:ascii="Times New Roman" w:hAnsi="Times New Roman" w:cs="Times New Roman"/>
          <w:sz w:val="24"/>
          <w:szCs w:val="24"/>
        </w:rPr>
        <w:t>do</w:t>
      </w:r>
      <w:r w:rsidRPr="005F28DB">
        <w:rPr>
          <w:rFonts w:ascii="Times New Roman" w:hAnsi="Times New Roman" w:cs="Times New Roman"/>
          <w:sz w:val="24"/>
          <w:szCs w:val="24"/>
        </w:rPr>
        <w:t xml:space="preserve"> que </w:t>
      </w:r>
      <w:r w:rsidR="0076794F" w:rsidRPr="005F28DB">
        <w:rPr>
          <w:rFonts w:ascii="Times New Roman" w:hAnsi="Times New Roman" w:cs="Times New Roman"/>
          <w:sz w:val="24"/>
          <w:szCs w:val="24"/>
        </w:rPr>
        <w:t xml:space="preserve">el Estado </w:t>
      </w:r>
      <w:r w:rsidRPr="005F28DB">
        <w:rPr>
          <w:rFonts w:ascii="Times New Roman" w:hAnsi="Times New Roman" w:cs="Times New Roman"/>
          <w:sz w:val="24"/>
          <w:szCs w:val="24"/>
        </w:rPr>
        <w:t>esté a</w:t>
      </w:r>
      <w:r w:rsidR="00215884" w:rsidRPr="005F28DB">
        <w:rPr>
          <w:rFonts w:ascii="Times New Roman" w:hAnsi="Times New Roman" w:cs="Times New Roman"/>
          <w:sz w:val="24"/>
          <w:szCs w:val="24"/>
        </w:rPr>
        <w:t xml:space="preserve">delantando </w:t>
      </w:r>
      <w:r w:rsidRPr="005F28DB">
        <w:rPr>
          <w:rFonts w:ascii="Times New Roman" w:hAnsi="Times New Roman" w:cs="Times New Roman"/>
          <w:sz w:val="24"/>
          <w:szCs w:val="24"/>
        </w:rPr>
        <w:t>un</w:t>
      </w:r>
      <w:r w:rsidR="00F5457C" w:rsidRPr="005F28DB">
        <w:rPr>
          <w:rFonts w:ascii="Times New Roman" w:hAnsi="Times New Roman" w:cs="Times New Roman"/>
          <w:sz w:val="24"/>
          <w:szCs w:val="24"/>
        </w:rPr>
        <w:t xml:space="preserve"> proceso </w:t>
      </w:r>
      <w:r w:rsidR="00231178" w:rsidRPr="005F28DB">
        <w:rPr>
          <w:rFonts w:ascii="Times New Roman" w:hAnsi="Times New Roman" w:cs="Times New Roman"/>
          <w:sz w:val="24"/>
          <w:szCs w:val="24"/>
        </w:rPr>
        <w:t xml:space="preserve">para </w:t>
      </w:r>
      <w:r w:rsidR="00215884" w:rsidRPr="005F28DB">
        <w:rPr>
          <w:rFonts w:ascii="Times New Roman" w:hAnsi="Times New Roman" w:cs="Times New Roman"/>
          <w:sz w:val="24"/>
          <w:szCs w:val="24"/>
        </w:rPr>
        <w:t xml:space="preserve">la </w:t>
      </w:r>
      <w:r w:rsidR="008F7580" w:rsidRPr="005F28DB">
        <w:rPr>
          <w:rFonts w:ascii="Times New Roman" w:hAnsi="Times New Roman" w:cs="Times New Roman"/>
          <w:sz w:val="24"/>
          <w:szCs w:val="24"/>
        </w:rPr>
        <w:t xml:space="preserve">elaboración de un anteproyecto de ley que </w:t>
      </w:r>
      <w:r w:rsidR="00F5457C" w:rsidRPr="005F28DB">
        <w:rPr>
          <w:rFonts w:ascii="Times New Roman" w:hAnsi="Times New Roman" w:cs="Times New Roman"/>
          <w:sz w:val="24"/>
          <w:szCs w:val="24"/>
        </w:rPr>
        <w:t xml:space="preserve">a corto, mediano o largo plazo </w:t>
      </w:r>
      <w:r w:rsidR="008F7580" w:rsidRPr="005F28DB">
        <w:rPr>
          <w:rFonts w:ascii="Times New Roman" w:hAnsi="Times New Roman" w:cs="Times New Roman"/>
          <w:sz w:val="24"/>
          <w:szCs w:val="24"/>
        </w:rPr>
        <w:t>sea materia d</w:t>
      </w:r>
      <w:r w:rsidR="00F5457C" w:rsidRPr="005F28DB">
        <w:rPr>
          <w:rFonts w:ascii="Times New Roman" w:hAnsi="Times New Roman" w:cs="Times New Roman"/>
          <w:sz w:val="24"/>
          <w:szCs w:val="24"/>
        </w:rPr>
        <w:t xml:space="preserve">e </w:t>
      </w:r>
      <w:r w:rsidR="00215884" w:rsidRPr="005F28DB">
        <w:rPr>
          <w:rFonts w:ascii="Times New Roman" w:hAnsi="Times New Roman" w:cs="Times New Roman"/>
          <w:sz w:val="24"/>
          <w:szCs w:val="24"/>
        </w:rPr>
        <w:t xml:space="preserve">este </w:t>
      </w:r>
      <w:r w:rsidR="008F7580" w:rsidRPr="005F28DB">
        <w:rPr>
          <w:rFonts w:ascii="Times New Roman" w:hAnsi="Times New Roman" w:cs="Times New Roman"/>
          <w:sz w:val="24"/>
          <w:szCs w:val="24"/>
        </w:rPr>
        <w:t>d</w:t>
      </w:r>
      <w:r w:rsidR="00F5457C" w:rsidRPr="005F28DB">
        <w:rPr>
          <w:rFonts w:ascii="Times New Roman" w:hAnsi="Times New Roman" w:cs="Times New Roman"/>
          <w:sz w:val="24"/>
          <w:szCs w:val="24"/>
        </w:rPr>
        <w:t>e</w:t>
      </w:r>
      <w:r w:rsidR="008F7580" w:rsidRPr="005F28DB">
        <w:rPr>
          <w:rFonts w:ascii="Times New Roman" w:hAnsi="Times New Roman" w:cs="Times New Roman"/>
          <w:sz w:val="24"/>
          <w:szCs w:val="24"/>
        </w:rPr>
        <w:t>bate</w:t>
      </w:r>
      <w:r w:rsidR="00F5457C" w:rsidRPr="005F28DB">
        <w:rPr>
          <w:rFonts w:ascii="Times New Roman" w:hAnsi="Times New Roman" w:cs="Times New Roman"/>
          <w:sz w:val="24"/>
          <w:szCs w:val="24"/>
        </w:rPr>
        <w:t xml:space="preserve"> legisla</w:t>
      </w:r>
      <w:r w:rsidR="008F7580" w:rsidRPr="005F28DB">
        <w:rPr>
          <w:rFonts w:ascii="Times New Roman" w:hAnsi="Times New Roman" w:cs="Times New Roman"/>
          <w:sz w:val="24"/>
          <w:szCs w:val="24"/>
        </w:rPr>
        <w:t>tivo</w:t>
      </w:r>
      <w:r w:rsidR="0076794F" w:rsidRPr="005F28DB">
        <w:rPr>
          <w:rFonts w:ascii="Times New Roman" w:hAnsi="Times New Roman" w:cs="Times New Roman"/>
          <w:sz w:val="24"/>
          <w:szCs w:val="24"/>
        </w:rPr>
        <w:t xml:space="preserve">; por tanto </w:t>
      </w:r>
      <w:r w:rsidR="00796F09" w:rsidRPr="005F28DB">
        <w:rPr>
          <w:rFonts w:ascii="Times New Roman" w:hAnsi="Times New Roman" w:cs="Times New Roman"/>
          <w:sz w:val="24"/>
          <w:szCs w:val="24"/>
        </w:rPr>
        <w:t xml:space="preserve">no existe regulación sobre </w:t>
      </w:r>
      <w:r w:rsidR="00215884" w:rsidRPr="005F28DB">
        <w:rPr>
          <w:rFonts w:ascii="Times New Roman" w:hAnsi="Times New Roman" w:cs="Times New Roman"/>
          <w:sz w:val="24"/>
          <w:szCs w:val="24"/>
        </w:rPr>
        <w:t xml:space="preserve"> malas praxis que impid</w:t>
      </w:r>
      <w:r w:rsidR="0076794F" w:rsidRPr="005F28DB">
        <w:rPr>
          <w:rFonts w:ascii="Times New Roman" w:hAnsi="Times New Roman" w:cs="Times New Roman"/>
          <w:sz w:val="24"/>
          <w:szCs w:val="24"/>
        </w:rPr>
        <w:t>e</w:t>
      </w:r>
      <w:r w:rsidR="00215884" w:rsidRPr="005F28DB">
        <w:rPr>
          <w:rFonts w:ascii="Times New Roman" w:hAnsi="Times New Roman" w:cs="Times New Roman"/>
          <w:sz w:val="24"/>
          <w:szCs w:val="24"/>
        </w:rPr>
        <w:t xml:space="preserve">n a las mujeres la atención adecuada de su salud sexual y reproductiva, despenalización del aborto por violación, la penalización  de la violencia obstétrica y de la esterilización forzada, así como de la inseminación artificial no consentida. </w:t>
      </w:r>
      <w:r w:rsidR="0076794F" w:rsidRPr="005F28DB">
        <w:rPr>
          <w:rFonts w:ascii="Times New Roman" w:hAnsi="Times New Roman" w:cs="Times New Roman"/>
          <w:sz w:val="24"/>
          <w:szCs w:val="24"/>
        </w:rPr>
        <w:t>O</w:t>
      </w:r>
      <w:r w:rsidR="00215884" w:rsidRPr="005F28DB">
        <w:rPr>
          <w:rFonts w:ascii="Times New Roman" w:hAnsi="Times New Roman" w:cs="Times New Roman"/>
          <w:sz w:val="24"/>
          <w:szCs w:val="24"/>
        </w:rPr>
        <w:t>tros temas ligados a la salud sexual y reproductiva como son: la libertad de acceso a la anticoncepción de emergencia, la provisión de cuidados y tratamientos de profilaxis de emergencia para VIH y otras enfermedades de transmisión sexual, especialmente en casos de violencia sexual no han sido contestados en ninguno de los Informes.</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C71634"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Con respecto a </w:t>
      </w:r>
      <w:r w:rsidR="000A6755" w:rsidRPr="005F28DB">
        <w:rPr>
          <w:rFonts w:ascii="Times New Roman" w:hAnsi="Times New Roman" w:cs="Times New Roman"/>
          <w:sz w:val="24"/>
          <w:szCs w:val="24"/>
        </w:rPr>
        <w:t>la trata nacional e internacional de personas</w:t>
      </w:r>
      <w:r w:rsidRPr="005F28DB">
        <w:rPr>
          <w:rFonts w:ascii="Times New Roman" w:hAnsi="Times New Roman" w:cs="Times New Roman"/>
          <w:sz w:val="24"/>
          <w:szCs w:val="24"/>
        </w:rPr>
        <w:t>,  aunque ha</w:t>
      </w:r>
      <w:r w:rsidR="000A6755" w:rsidRPr="005F28DB">
        <w:rPr>
          <w:rFonts w:ascii="Times New Roman" w:hAnsi="Times New Roman" w:cs="Times New Roman"/>
          <w:sz w:val="24"/>
          <w:szCs w:val="24"/>
        </w:rPr>
        <w:t xml:space="preserve"> sido incorpo</w:t>
      </w:r>
      <w:r w:rsidR="003D6EFF" w:rsidRPr="005F28DB">
        <w:rPr>
          <w:rFonts w:ascii="Times New Roman" w:hAnsi="Times New Roman" w:cs="Times New Roman"/>
          <w:sz w:val="24"/>
          <w:szCs w:val="24"/>
        </w:rPr>
        <w:t xml:space="preserve">rada a la legislación nacional </w:t>
      </w:r>
      <w:r w:rsidR="000A6755" w:rsidRPr="005F28DB">
        <w:rPr>
          <w:rFonts w:ascii="Times New Roman" w:hAnsi="Times New Roman" w:cs="Times New Roman"/>
          <w:sz w:val="24"/>
          <w:szCs w:val="24"/>
        </w:rPr>
        <w:t>como</w:t>
      </w:r>
      <w:r w:rsidR="003D6EFF" w:rsidRPr="005F28DB">
        <w:rPr>
          <w:rFonts w:ascii="Times New Roman" w:hAnsi="Times New Roman" w:cs="Times New Roman"/>
          <w:sz w:val="24"/>
          <w:szCs w:val="24"/>
        </w:rPr>
        <w:t xml:space="preserve"> delito, </w:t>
      </w:r>
      <w:r w:rsidR="000A6755" w:rsidRPr="005F28DB">
        <w:rPr>
          <w:rFonts w:ascii="Times New Roman" w:hAnsi="Times New Roman" w:cs="Times New Roman"/>
          <w:sz w:val="24"/>
          <w:szCs w:val="24"/>
        </w:rPr>
        <w:t>la construcción del</w:t>
      </w:r>
      <w:r w:rsidRPr="005F28DB">
        <w:rPr>
          <w:rFonts w:ascii="Times New Roman" w:hAnsi="Times New Roman" w:cs="Times New Roman"/>
          <w:sz w:val="24"/>
          <w:szCs w:val="24"/>
        </w:rPr>
        <w:t xml:space="preserve"> tipo penal  no es claro, se presta a interpretaciones por lo cual, surgen</w:t>
      </w:r>
      <w:r w:rsidR="000A6755" w:rsidRPr="005F28DB">
        <w:rPr>
          <w:rFonts w:ascii="Times New Roman" w:hAnsi="Times New Roman" w:cs="Times New Roman"/>
          <w:sz w:val="24"/>
          <w:szCs w:val="24"/>
        </w:rPr>
        <w:t xml:space="preserve"> dudas sobre su congruencia con lo establecido en el Protocolo de Palermo.     </w:t>
      </w:r>
    </w:p>
    <w:p w:rsidR="00832571" w:rsidRPr="005F28DB" w:rsidRDefault="00832571" w:rsidP="003D6EFF">
      <w:pPr>
        <w:pStyle w:val="ListParagraph"/>
        <w:spacing w:after="0" w:line="240" w:lineRule="auto"/>
        <w:rPr>
          <w:rFonts w:ascii="Times New Roman" w:hAnsi="Times New Roman" w:cs="Times New Roman"/>
          <w:sz w:val="24"/>
          <w:szCs w:val="24"/>
        </w:rPr>
      </w:pPr>
    </w:p>
    <w:p w:rsidR="003D58A6" w:rsidRPr="005F28DB" w:rsidRDefault="00BF11EA"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Las instancias como </w:t>
      </w:r>
      <w:r w:rsidR="003D6EFF" w:rsidRPr="005F28DB">
        <w:rPr>
          <w:rFonts w:ascii="Times New Roman" w:hAnsi="Times New Roman" w:cs="Times New Roman"/>
          <w:sz w:val="24"/>
          <w:szCs w:val="24"/>
        </w:rPr>
        <w:t xml:space="preserve">el </w:t>
      </w:r>
      <w:r w:rsidRPr="005F28DB">
        <w:rPr>
          <w:rFonts w:ascii="Times New Roman" w:hAnsi="Times New Roman" w:cs="Times New Roman"/>
          <w:sz w:val="24"/>
          <w:szCs w:val="24"/>
        </w:rPr>
        <w:t xml:space="preserve">poder judicial, fiscalías, </w:t>
      </w:r>
      <w:r w:rsidR="003D6EFF" w:rsidRPr="005F28DB">
        <w:rPr>
          <w:rFonts w:ascii="Times New Roman" w:hAnsi="Times New Roman" w:cs="Times New Roman"/>
          <w:sz w:val="24"/>
          <w:szCs w:val="24"/>
        </w:rPr>
        <w:t>Instituto Nacional de Mujeres</w:t>
      </w:r>
      <w:r w:rsidRPr="005F28DB">
        <w:rPr>
          <w:rFonts w:ascii="Times New Roman" w:hAnsi="Times New Roman" w:cs="Times New Roman"/>
          <w:sz w:val="24"/>
          <w:szCs w:val="24"/>
        </w:rPr>
        <w:t xml:space="preserve">, Patronato Nacional de la Infancia, Ministerio de Salud y la Caja Costarricense de Seguridad Social, han producido y aplican protocolos de atención para mujeres sobrevivientes de violencia y en situaciones de trata. </w:t>
      </w:r>
      <w:r w:rsidR="008B6A77" w:rsidRPr="005F28DB">
        <w:rPr>
          <w:rFonts w:ascii="Times New Roman" w:hAnsi="Times New Roman" w:cs="Times New Roman"/>
          <w:sz w:val="24"/>
          <w:szCs w:val="24"/>
        </w:rPr>
        <w:t xml:space="preserve"> Se </w:t>
      </w:r>
      <w:r w:rsidR="00CD656B" w:rsidRPr="005F28DB">
        <w:rPr>
          <w:rFonts w:ascii="Times New Roman" w:hAnsi="Times New Roman" w:cs="Times New Roman"/>
          <w:sz w:val="24"/>
          <w:szCs w:val="24"/>
        </w:rPr>
        <w:t>destaca</w:t>
      </w:r>
      <w:r w:rsidR="003D58A6" w:rsidRPr="005F28DB">
        <w:rPr>
          <w:rFonts w:ascii="Times New Roman" w:hAnsi="Times New Roman" w:cs="Times New Roman"/>
          <w:sz w:val="24"/>
          <w:szCs w:val="24"/>
        </w:rPr>
        <w:t xml:space="preserve"> el nivel de especialización de los protocolos de actuación interinstitucional para la atención a mujeres en situación de riesgo de muerte por </w:t>
      </w:r>
      <w:r w:rsidR="003D6EFF" w:rsidRPr="005F28DB">
        <w:rPr>
          <w:rFonts w:ascii="Times New Roman" w:hAnsi="Times New Roman" w:cs="Times New Roman"/>
          <w:sz w:val="24"/>
          <w:szCs w:val="24"/>
        </w:rPr>
        <w:t>violencia intrafamiliar</w:t>
      </w:r>
      <w:r w:rsidR="003D58A6" w:rsidRPr="005F28DB">
        <w:rPr>
          <w:rFonts w:ascii="Times New Roman" w:hAnsi="Times New Roman" w:cs="Times New Roman"/>
          <w:sz w:val="24"/>
          <w:szCs w:val="24"/>
        </w:rPr>
        <w:t>, trata, tráfico, explotación sexual comerc</w:t>
      </w:r>
      <w:r w:rsidR="003B46B8" w:rsidRPr="005F28DB">
        <w:rPr>
          <w:rFonts w:ascii="Times New Roman" w:hAnsi="Times New Roman" w:cs="Times New Roman"/>
          <w:sz w:val="24"/>
          <w:szCs w:val="24"/>
        </w:rPr>
        <w:t>ial, violencia sexual, maltrato, y un m</w:t>
      </w:r>
      <w:r w:rsidR="003D58A6" w:rsidRPr="005F28DB">
        <w:rPr>
          <w:rFonts w:ascii="Times New Roman" w:hAnsi="Times New Roman" w:cs="Times New Roman"/>
          <w:sz w:val="24"/>
          <w:szCs w:val="24"/>
        </w:rPr>
        <w:t xml:space="preserve">anual de inspección de trabajo que incluye el procedimiento por denuncia de hostigamiento sexual.     </w:t>
      </w:r>
    </w:p>
    <w:p w:rsidR="003D6EFF" w:rsidRPr="005F28DB" w:rsidRDefault="003D6EFF" w:rsidP="003D6EFF">
      <w:pPr>
        <w:pStyle w:val="ListParagraph"/>
        <w:rPr>
          <w:rFonts w:ascii="Times New Roman" w:hAnsi="Times New Roman" w:cs="Times New Roman"/>
          <w:sz w:val="24"/>
          <w:szCs w:val="24"/>
        </w:rPr>
      </w:pPr>
    </w:p>
    <w:p w:rsidR="003D6EFF" w:rsidRPr="005F28DB" w:rsidRDefault="003D6EFF" w:rsidP="003D6EFF">
      <w:pPr>
        <w:pStyle w:val="ListParagraph"/>
        <w:spacing w:after="0" w:line="240" w:lineRule="auto"/>
        <w:jc w:val="both"/>
        <w:rPr>
          <w:rFonts w:ascii="Times New Roman" w:hAnsi="Times New Roman" w:cs="Times New Roman"/>
          <w:sz w:val="24"/>
          <w:szCs w:val="24"/>
        </w:rPr>
      </w:pPr>
    </w:p>
    <w:p w:rsidR="002E7A27" w:rsidRPr="005F28DB" w:rsidRDefault="002E7A27" w:rsidP="003D6EFF">
      <w:pPr>
        <w:spacing w:after="0" w:line="240" w:lineRule="auto"/>
        <w:jc w:val="both"/>
        <w:rPr>
          <w:rFonts w:ascii="Times New Roman" w:hAnsi="Times New Roman" w:cs="Times New Roman"/>
          <w:b/>
          <w:sz w:val="24"/>
          <w:szCs w:val="24"/>
        </w:rPr>
      </w:pPr>
      <w:r w:rsidRPr="005F28DB">
        <w:rPr>
          <w:rFonts w:ascii="Times New Roman" w:hAnsi="Times New Roman" w:cs="Times New Roman"/>
          <w:b/>
          <w:sz w:val="24"/>
          <w:szCs w:val="24"/>
        </w:rPr>
        <w:t>Progreso en cuanto a capacidades estatales, contexto financiero básico, compromisos presupuestarios, información estadística.</w:t>
      </w:r>
    </w:p>
    <w:p w:rsidR="003B46B8" w:rsidRPr="005F28DB" w:rsidRDefault="003B46B8" w:rsidP="003D6EFF">
      <w:pPr>
        <w:spacing w:after="0" w:line="240" w:lineRule="auto"/>
        <w:jc w:val="both"/>
        <w:rPr>
          <w:rFonts w:ascii="Times New Roman" w:hAnsi="Times New Roman" w:cs="Times New Roman"/>
          <w:b/>
          <w:sz w:val="24"/>
          <w:szCs w:val="24"/>
        </w:rPr>
      </w:pPr>
    </w:p>
    <w:p w:rsidR="00832571" w:rsidRPr="005F28DB" w:rsidRDefault="003D58A6"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No obstante estos significativos procesos, el Informe de Indicadores de Progreso tanto en los criterios estructural, de proceso, como de resultado; no cuenta con suficiente  </w:t>
      </w:r>
      <w:r w:rsidRPr="005F28DB">
        <w:rPr>
          <w:rFonts w:ascii="Times New Roman" w:hAnsi="Times New Roman" w:cs="Times New Roman"/>
          <w:sz w:val="24"/>
          <w:szCs w:val="24"/>
        </w:rPr>
        <w:lastRenderedPageBreak/>
        <w:t>información sobre el grado de participación de</w:t>
      </w:r>
      <w:r w:rsidR="003B46B8" w:rsidRPr="005F28DB">
        <w:rPr>
          <w:rFonts w:ascii="Times New Roman" w:hAnsi="Times New Roman" w:cs="Times New Roman"/>
          <w:sz w:val="24"/>
          <w:szCs w:val="24"/>
        </w:rPr>
        <w:t xml:space="preserve"> organismos no g gubernamentales (</w:t>
      </w:r>
      <w:r w:rsidR="003D17AF" w:rsidRPr="005F28DB">
        <w:rPr>
          <w:rFonts w:ascii="Times New Roman" w:hAnsi="Times New Roman" w:cs="Times New Roman"/>
          <w:sz w:val="24"/>
          <w:szCs w:val="24"/>
        </w:rPr>
        <w:t>ONG</w:t>
      </w:r>
      <w:r w:rsidR="003B46B8" w:rsidRPr="005F28DB">
        <w:rPr>
          <w:rFonts w:ascii="Times New Roman" w:hAnsi="Times New Roman" w:cs="Times New Roman"/>
          <w:sz w:val="24"/>
          <w:szCs w:val="24"/>
        </w:rPr>
        <w:t xml:space="preserve">) </w:t>
      </w:r>
      <w:r w:rsidRPr="005F28DB">
        <w:rPr>
          <w:rFonts w:ascii="Times New Roman" w:hAnsi="Times New Roman" w:cs="Times New Roman"/>
          <w:sz w:val="24"/>
          <w:szCs w:val="24"/>
        </w:rPr>
        <w:t>en la el</w:t>
      </w:r>
      <w:r w:rsidR="003B46B8" w:rsidRPr="005F28DB">
        <w:rPr>
          <w:rFonts w:ascii="Times New Roman" w:hAnsi="Times New Roman" w:cs="Times New Roman"/>
          <w:sz w:val="24"/>
          <w:szCs w:val="24"/>
        </w:rPr>
        <w:t xml:space="preserve">aboración de estos protocolos. De igual forma, sobre la difusión, </w:t>
      </w:r>
      <w:r w:rsidRPr="005F28DB">
        <w:rPr>
          <w:rFonts w:ascii="Times New Roman" w:hAnsi="Times New Roman" w:cs="Times New Roman"/>
          <w:sz w:val="24"/>
          <w:szCs w:val="24"/>
        </w:rPr>
        <w:t xml:space="preserve">no hay registros únicos </w:t>
      </w:r>
      <w:r w:rsidR="003B46B8" w:rsidRPr="005F28DB">
        <w:rPr>
          <w:rFonts w:ascii="Times New Roman" w:hAnsi="Times New Roman" w:cs="Times New Roman"/>
          <w:sz w:val="24"/>
          <w:szCs w:val="24"/>
        </w:rPr>
        <w:t xml:space="preserve">ni datos </w:t>
      </w:r>
      <w:r w:rsidRPr="005F28DB">
        <w:rPr>
          <w:rFonts w:ascii="Times New Roman" w:hAnsi="Times New Roman" w:cs="Times New Roman"/>
          <w:sz w:val="24"/>
          <w:szCs w:val="24"/>
        </w:rPr>
        <w:t>que den</w:t>
      </w:r>
      <w:r w:rsidR="00CD656B" w:rsidRPr="005F28DB">
        <w:rPr>
          <w:rFonts w:ascii="Times New Roman" w:hAnsi="Times New Roman" w:cs="Times New Roman"/>
          <w:sz w:val="24"/>
          <w:szCs w:val="24"/>
        </w:rPr>
        <w:t xml:space="preserve"> cuenta de cómo se han publicitado,</w:t>
      </w:r>
      <w:r w:rsidRPr="005F28DB">
        <w:rPr>
          <w:rFonts w:ascii="Times New Roman" w:hAnsi="Times New Roman" w:cs="Times New Roman"/>
          <w:sz w:val="24"/>
          <w:szCs w:val="24"/>
        </w:rPr>
        <w:t xml:space="preserve"> en término</w:t>
      </w:r>
      <w:r w:rsidR="003B46B8" w:rsidRPr="005F28DB">
        <w:rPr>
          <w:rFonts w:ascii="Times New Roman" w:hAnsi="Times New Roman" w:cs="Times New Roman"/>
          <w:sz w:val="24"/>
          <w:szCs w:val="24"/>
        </w:rPr>
        <w:t xml:space="preserve">s de aplicación. Por otra parte, se reporta  </w:t>
      </w:r>
      <w:r w:rsidRPr="005F28DB">
        <w:rPr>
          <w:rFonts w:ascii="Times New Roman" w:hAnsi="Times New Roman" w:cs="Times New Roman"/>
          <w:sz w:val="24"/>
          <w:szCs w:val="24"/>
        </w:rPr>
        <w:t>que los protocolos están disponibles solo en idioma español. Aún má</w:t>
      </w:r>
      <w:r w:rsidR="00C71634" w:rsidRPr="005F28DB">
        <w:rPr>
          <w:rFonts w:ascii="Times New Roman" w:hAnsi="Times New Roman" w:cs="Times New Roman"/>
          <w:sz w:val="24"/>
          <w:szCs w:val="24"/>
        </w:rPr>
        <w:t>s grave no</w:t>
      </w:r>
      <w:r w:rsidR="00C96425" w:rsidRPr="005F28DB">
        <w:rPr>
          <w:rFonts w:ascii="Times New Roman" w:hAnsi="Times New Roman" w:cs="Times New Roman"/>
          <w:sz w:val="24"/>
          <w:szCs w:val="24"/>
        </w:rPr>
        <w:t xml:space="preserve"> se reporta información sobre</w:t>
      </w:r>
      <w:r w:rsidRPr="005F28DB">
        <w:rPr>
          <w:rFonts w:ascii="Times New Roman" w:hAnsi="Times New Roman" w:cs="Times New Roman"/>
          <w:sz w:val="24"/>
          <w:szCs w:val="24"/>
        </w:rPr>
        <w:t xml:space="preserve"> el grado de conocimiento, comprensión y aplicación de protocolos, y reglamentos específicos en materia de derechos de las mujeres.</w:t>
      </w:r>
    </w:p>
    <w:p w:rsidR="00832571" w:rsidRPr="005F28DB" w:rsidRDefault="00832571" w:rsidP="003D6EFF">
      <w:pPr>
        <w:pStyle w:val="ListParagraph"/>
        <w:spacing w:after="0" w:line="240" w:lineRule="auto"/>
        <w:jc w:val="both"/>
        <w:rPr>
          <w:rFonts w:ascii="Times New Roman" w:hAnsi="Times New Roman" w:cs="Times New Roman"/>
          <w:sz w:val="24"/>
          <w:szCs w:val="24"/>
        </w:rPr>
      </w:pPr>
    </w:p>
    <w:p w:rsidR="00832571" w:rsidRPr="005F28DB" w:rsidRDefault="00065492"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Hay que resaltar el esfuerzo realizado en el </w:t>
      </w:r>
      <w:r w:rsidR="003B46B8" w:rsidRPr="005F28DB">
        <w:rPr>
          <w:rFonts w:ascii="Times New Roman" w:hAnsi="Times New Roman" w:cs="Times New Roman"/>
          <w:sz w:val="24"/>
          <w:szCs w:val="24"/>
        </w:rPr>
        <w:t>Sistema</w:t>
      </w:r>
      <w:r w:rsidRPr="005F28DB">
        <w:rPr>
          <w:rFonts w:ascii="Times New Roman" w:hAnsi="Times New Roman" w:cs="Times New Roman"/>
          <w:sz w:val="24"/>
          <w:szCs w:val="24"/>
        </w:rPr>
        <w:t xml:space="preserve"> de Indicadores de Progreso para la producc</w:t>
      </w:r>
      <w:r w:rsidR="003B46B8" w:rsidRPr="005F28DB">
        <w:rPr>
          <w:rFonts w:ascii="Times New Roman" w:hAnsi="Times New Roman" w:cs="Times New Roman"/>
          <w:sz w:val="24"/>
          <w:szCs w:val="24"/>
        </w:rPr>
        <w:t>ión de datos estadísticos sobre la t</w:t>
      </w:r>
      <w:r w:rsidRPr="005F28DB">
        <w:rPr>
          <w:rFonts w:ascii="Times New Roman" w:hAnsi="Times New Roman" w:cs="Times New Roman"/>
          <w:sz w:val="24"/>
          <w:szCs w:val="24"/>
        </w:rPr>
        <w:t>asa d</w:t>
      </w:r>
      <w:r w:rsidR="003B46B8" w:rsidRPr="005F28DB">
        <w:rPr>
          <w:rFonts w:ascii="Times New Roman" w:hAnsi="Times New Roman" w:cs="Times New Roman"/>
          <w:sz w:val="24"/>
          <w:szCs w:val="24"/>
        </w:rPr>
        <w:t xml:space="preserve">e violencia en base a encuestas - </w:t>
      </w:r>
      <w:r w:rsidRPr="005F28DB">
        <w:rPr>
          <w:rFonts w:ascii="Times New Roman" w:hAnsi="Times New Roman" w:cs="Times New Roman"/>
          <w:sz w:val="24"/>
          <w:szCs w:val="24"/>
        </w:rPr>
        <w:t xml:space="preserve">número de niñas y adolescentes, mujeres adultas y adultas mayores, que declaren haber sido víctimas de cualquier forma de violencia, por rango de edad, (psicológica, física, sexual, patrimonial, económica y otras) ejercida por una pareja, </w:t>
      </w:r>
      <w:r w:rsidR="00E227E5" w:rsidRPr="005F28DB">
        <w:rPr>
          <w:rFonts w:ascii="Times New Roman" w:hAnsi="Times New Roman" w:cs="Times New Roman"/>
          <w:sz w:val="24"/>
          <w:szCs w:val="24"/>
        </w:rPr>
        <w:t>ex pareja</w:t>
      </w:r>
      <w:r w:rsidRPr="005F28DB">
        <w:rPr>
          <w:rFonts w:ascii="Times New Roman" w:hAnsi="Times New Roman" w:cs="Times New Roman"/>
          <w:sz w:val="24"/>
          <w:szCs w:val="24"/>
        </w:rPr>
        <w:t xml:space="preserve"> en los últimos doce meses. Tasa de femicidio </w:t>
      </w:r>
      <w:r w:rsidR="003B46B8" w:rsidRPr="005F28DB">
        <w:rPr>
          <w:rFonts w:ascii="Times New Roman" w:hAnsi="Times New Roman" w:cs="Times New Roman"/>
          <w:sz w:val="24"/>
          <w:szCs w:val="24"/>
        </w:rPr>
        <w:t>y/o muerte violenta de mujeres. U</w:t>
      </w:r>
      <w:r w:rsidRPr="005F28DB">
        <w:rPr>
          <w:rFonts w:ascii="Times New Roman" w:hAnsi="Times New Roman" w:cs="Times New Roman"/>
          <w:sz w:val="24"/>
          <w:szCs w:val="24"/>
        </w:rPr>
        <w:t xml:space="preserve">n extenso compendio de datos fueron proporcionados de manera puntual  con las limitaciones propias de no contar en ocasiones con las cifras desagregadas </w:t>
      </w:r>
      <w:r w:rsidR="003B46B8" w:rsidRPr="005F28DB">
        <w:rPr>
          <w:rFonts w:ascii="Times New Roman" w:hAnsi="Times New Roman" w:cs="Times New Roman"/>
          <w:sz w:val="24"/>
          <w:szCs w:val="24"/>
        </w:rPr>
        <w:t>por sexo, por región o por edad. L</w:t>
      </w:r>
      <w:r w:rsidRPr="005F28DB">
        <w:rPr>
          <w:rFonts w:ascii="Times New Roman" w:hAnsi="Times New Roman" w:cs="Times New Roman"/>
          <w:sz w:val="24"/>
          <w:szCs w:val="24"/>
        </w:rPr>
        <w:t>a mayor parte de esta información fue proporcionada por el Poder Judicial a través d</w:t>
      </w:r>
      <w:r w:rsidR="00C31F04" w:rsidRPr="005F28DB">
        <w:rPr>
          <w:rFonts w:ascii="Times New Roman" w:hAnsi="Times New Roman" w:cs="Times New Roman"/>
          <w:sz w:val="24"/>
          <w:szCs w:val="24"/>
        </w:rPr>
        <w:t>e su S</w:t>
      </w:r>
      <w:r w:rsidRPr="005F28DB">
        <w:rPr>
          <w:rFonts w:ascii="Times New Roman" w:hAnsi="Times New Roman" w:cs="Times New Roman"/>
          <w:sz w:val="24"/>
          <w:szCs w:val="24"/>
        </w:rPr>
        <w:t xml:space="preserve">ección de </w:t>
      </w:r>
      <w:r w:rsidR="00C31F04" w:rsidRPr="005F28DB">
        <w:rPr>
          <w:rFonts w:ascii="Times New Roman" w:hAnsi="Times New Roman" w:cs="Times New Roman"/>
          <w:sz w:val="24"/>
          <w:szCs w:val="24"/>
        </w:rPr>
        <w:t>E</w:t>
      </w:r>
      <w:r w:rsidR="00E227E5" w:rsidRPr="005F28DB">
        <w:rPr>
          <w:rFonts w:ascii="Times New Roman" w:hAnsi="Times New Roman" w:cs="Times New Roman"/>
          <w:sz w:val="24"/>
          <w:szCs w:val="24"/>
        </w:rPr>
        <w:t>stadísticas.</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AA1A51"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w:t>
      </w:r>
      <w:r w:rsidR="00DD4015" w:rsidRPr="005F28DB">
        <w:rPr>
          <w:rFonts w:ascii="Times New Roman" w:hAnsi="Times New Roman" w:cs="Times New Roman"/>
          <w:sz w:val="24"/>
          <w:szCs w:val="24"/>
        </w:rPr>
        <w:t>s deseable que e</w:t>
      </w:r>
      <w:r w:rsidRPr="005F28DB">
        <w:rPr>
          <w:rFonts w:ascii="Times New Roman" w:hAnsi="Times New Roman" w:cs="Times New Roman"/>
          <w:sz w:val="24"/>
          <w:szCs w:val="24"/>
        </w:rPr>
        <w:t>l Estado i</w:t>
      </w:r>
      <w:r w:rsidR="00EE20A0" w:rsidRPr="005F28DB">
        <w:rPr>
          <w:rFonts w:ascii="Times New Roman" w:hAnsi="Times New Roman" w:cs="Times New Roman"/>
          <w:sz w:val="24"/>
          <w:szCs w:val="24"/>
        </w:rPr>
        <w:t>ndi</w:t>
      </w:r>
      <w:r w:rsidR="00DD4015" w:rsidRPr="005F28DB">
        <w:rPr>
          <w:rFonts w:ascii="Times New Roman" w:hAnsi="Times New Roman" w:cs="Times New Roman"/>
          <w:sz w:val="24"/>
          <w:szCs w:val="24"/>
        </w:rPr>
        <w:t>que</w:t>
      </w:r>
      <w:r w:rsidR="00EE20A0" w:rsidRPr="005F28DB">
        <w:rPr>
          <w:rFonts w:ascii="Times New Roman" w:hAnsi="Times New Roman" w:cs="Times New Roman"/>
          <w:sz w:val="24"/>
          <w:szCs w:val="24"/>
        </w:rPr>
        <w:t xml:space="preserve"> si existe  una estrategia con</w:t>
      </w:r>
      <w:r w:rsidR="006C500C" w:rsidRPr="005F28DB">
        <w:rPr>
          <w:rFonts w:ascii="Times New Roman" w:hAnsi="Times New Roman" w:cs="Times New Roman"/>
          <w:sz w:val="24"/>
          <w:szCs w:val="24"/>
        </w:rPr>
        <w:t xml:space="preserve"> acciones </w:t>
      </w:r>
      <w:r w:rsidR="008F7580" w:rsidRPr="005F28DB">
        <w:rPr>
          <w:rFonts w:ascii="Times New Roman" w:hAnsi="Times New Roman" w:cs="Times New Roman"/>
          <w:sz w:val="24"/>
          <w:szCs w:val="24"/>
        </w:rPr>
        <w:t xml:space="preserve">conducentes </w:t>
      </w:r>
      <w:r w:rsidRPr="005F28DB">
        <w:rPr>
          <w:rFonts w:ascii="Times New Roman" w:hAnsi="Times New Roman" w:cs="Times New Roman"/>
          <w:sz w:val="24"/>
          <w:szCs w:val="24"/>
        </w:rPr>
        <w:t xml:space="preserve">a </w:t>
      </w:r>
      <w:r w:rsidR="008F7580" w:rsidRPr="005F28DB">
        <w:rPr>
          <w:rFonts w:ascii="Times New Roman" w:hAnsi="Times New Roman" w:cs="Times New Roman"/>
          <w:sz w:val="24"/>
          <w:szCs w:val="24"/>
        </w:rPr>
        <w:t xml:space="preserve">establecer la hoja de ruta para </w:t>
      </w:r>
      <w:r w:rsidR="006C500C" w:rsidRPr="005F28DB">
        <w:rPr>
          <w:rFonts w:ascii="Times New Roman" w:hAnsi="Times New Roman" w:cs="Times New Roman"/>
          <w:sz w:val="24"/>
          <w:szCs w:val="24"/>
        </w:rPr>
        <w:t>producir los cambios legislativos</w:t>
      </w:r>
      <w:r w:rsidR="008F7580" w:rsidRPr="005F28DB">
        <w:rPr>
          <w:rFonts w:ascii="Times New Roman" w:hAnsi="Times New Roman" w:cs="Times New Roman"/>
          <w:sz w:val="24"/>
          <w:szCs w:val="24"/>
        </w:rPr>
        <w:t xml:space="preserve"> en los temas arriba señalados</w:t>
      </w:r>
      <w:r w:rsidR="006C500C" w:rsidRPr="005F28DB">
        <w:rPr>
          <w:rFonts w:ascii="Times New Roman" w:hAnsi="Times New Roman" w:cs="Times New Roman"/>
          <w:sz w:val="24"/>
          <w:szCs w:val="24"/>
        </w:rPr>
        <w:t>.</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DD4015"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términos de</w:t>
      </w:r>
      <w:r w:rsidR="00A14458" w:rsidRPr="005F28DB">
        <w:rPr>
          <w:rFonts w:ascii="Times New Roman" w:hAnsi="Times New Roman" w:cs="Times New Roman"/>
          <w:sz w:val="24"/>
          <w:szCs w:val="24"/>
        </w:rPr>
        <w:t xml:space="preserve"> materialización del derecho a vivir una vida libre de violencia en cuanto al componente legisla</w:t>
      </w:r>
      <w:r w:rsidRPr="005F28DB">
        <w:rPr>
          <w:rFonts w:ascii="Times New Roman" w:hAnsi="Times New Roman" w:cs="Times New Roman"/>
          <w:sz w:val="24"/>
          <w:szCs w:val="24"/>
        </w:rPr>
        <w:t>ción</w:t>
      </w:r>
      <w:r w:rsidR="00A96BE7" w:rsidRPr="005F28DB">
        <w:rPr>
          <w:rFonts w:ascii="Times New Roman" w:hAnsi="Times New Roman" w:cs="Times New Roman"/>
          <w:sz w:val="24"/>
          <w:szCs w:val="24"/>
        </w:rPr>
        <w:t>, del conjunto de recomendaciones del Comité de Expertas</w:t>
      </w:r>
      <w:r w:rsidR="003B46B8" w:rsidRPr="005F28DB">
        <w:rPr>
          <w:rFonts w:ascii="Times New Roman" w:hAnsi="Times New Roman" w:cs="Times New Roman"/>
          <w:sz w:val="24"/>
          <w:szCs w:val="24"/>
        </w:rPr>
        <w:t xml:space="preserve"> </w:t>
      </w:r>
      <w:r w:rsidR="00A96BE7" w:rsidRPr="005F28DB">
        <w:rPr>
          <w:rFonts w:ascii="Times New Roman" w:hAnsi="Times New Roman" w:cs="Times New Roman"/>
          <w:sz w:val="24"/>
          <w:szCs w:val="24"/>
        </w:rPr>
        <w:t xml:space="preserve">a los Estados partes, </w:t>
      </w:r>
      <w:r w:rsidR="006220C5" w:rsidRPr="005F28DB">
        <w:rPr>
          <w:rFonts w:ascii="Times New Roman" w:hAnsi="Times New Roman" w:cs="Times New Roman"/>
          <w:sz w:val="24"/>
          <w:szCs w:val="24"/>
        </w:rPr>
        <w:t>siguen pendientes el cumplimiento</w:t>
      </w:r>
      <w:r w:rsidR="00832571" w:rsidRPr="005F28DB">
        <w:rPr>
          <w:rFonts w:ascii="Times New Roman" w:hAnsi="Times New Roman" w:cs="Times New Roman"/>
          <w:sz w:val="24"/>
          <w:szCs w:val="24"/>
        </w:rPr>
        <w:t xml:space="preserve"> de</w:t>
      </w:r>
      <w:r w:rsidR="00234A1B" w:rsidRPr="005F28DB">
        <w:rPr>
          <w:rFonts w:ascii="Times New Roman" w:hAnsi="Times New Roman" w:cs="Times New Roman"/>
          <w:sz w:val="24"/>
          <w:szCs w:val="24"/>
        </w:rPr>
        <w:t>:</w:t>
      </w:r>
      <w:r w:rsidR="000E2997" w:rsidRPr="005F28DB">
        <w:rPr>
          <w:rFonts w:ascii="Times New Roman" w:hAnsi="Times New Roman" w:cs="Times New Roman"/>
          <w:sz w:val="24"/>
          <w:szCs w:val="24"/>
        </w:rPr>
        <w:t xml:space="preserve"> </w:t>
      </w:r>
      <w:r w:rsidR="003B46B8" w:rsidRPr="005F28DB">
        <w:rPr>
          <w:rFonts w:ascii="Times New Roman" w:hAnsi="Times New Roman" w:cs="Times New Roman"/>
          <w:sz w:val="24"/>
          <w:szCs w:val="24"/>
        </w:rPr>
        <w:t xml:space="preserve">La recomendación </w:t>
      </w:r>
      <w:r w:rsidR="006220C5" w:rsidRPr="005F28DB">
        <w:rPr>
          <w:rFonts w:ascii="Times New Roman" w:hAnsi="Times New Roman" w:cs="Times New Roman"/>
          <w:sz w:val="24"/>
          <w:szCs w:val="24"/>
        </w:rPr>
        <w:t xml:space="preserve">5 sobre: ”Prohibir el uso de métodos de conciliación, mediación y otros orientados a resolver extrajudicialmente casos de violencia contra las mujeres y armonizar la legislación procesal con esta prohibición. Si existiera este impedimento solo para casos de violencia familiar, intrafamiliar o doméstica, ampliar dicha prohibición a otros casos de violencia contra las mujeres”. </w:t>
      </w:r>
      <w:r w:rsidR="003B46B8" w:rsidRPr="005F28DB">
        <w:rPr>
          <w:rFonts w:ascii="Times New Roman" w:hAnsi="Times New Roman" w:cs="Times New Roman"/>
          <w:sz w:val="24"/>
          <w:szCs w:val="24"/>
        </w:rPr>
        <w:t xml:space="preserve">La recomendación </w:t>
      </w:r>
      <w:r w:rsidR="00737447" w:rsidRPr="005F28DB">
        <w:rPr>
          <w:rFonts w:ascii="Times New Roman" w:hAnsi="Times New Roman" w:cs="Times New Roman"/>
          <w:sz w:val="24"/>
          <w:szCs w:val="24"/>
        </w:rPr>
        <w:t>10</w:t>
      </w:r>
      <w:r w:rsidR="00A96BE7" w:rsidRPr="005F28DB">
        <w:rPr>
          <w:rFonts w:ascii="Times New Roman" w:hAnsi="Times New Roman" w:cs="Times New Roman"/>
          <w:sz w:val="24"/>
          <w:szCs w:val="24"/>
        </w:rPr>
        <w:t xml:space="preserve"> </w:t>
      </w:r>
      <w:r w:rsidR="00737447" w:rsidRPr="005F28DB">
        <w:rPr>
          <w:rFonts w:ascii="Times New Roman" w:hAnsi="Times New Roman" w:cs="Times New Roman"/>
          <w:sz w:val="24"/>
          <w:szCs w:val="24"/>
        </w:rPr>
        <w:t>sobre: “Adoptar disposiciones que penalicen la violencia obstétrica….</w:t>
      </w:r>
      <w:r w:rsidR="00F82769" w:rsidRPr="005F28DB">
        <w:rPr>
          <w:rFonts w:ascii="Times New Roman" w:hAnsi="Times New Roman" w:cs="Times New Roman"/>
          <w:sz w:val="24"/>
          <w:szCs w:val="24"/>
        </w:rPr>
        <w:t xml:space="preserve">”. </w:t>
      </w:r>
      <w:r w:rsidR="003B46B8" w:rsidRPr="005F28DB">
        <w:rPr>
          <w:rFonts w:ascii="Times New Roman" w:hAnsi="Times New Roman" w:cs="Times New Roman"/>
          <w:sz w:val="24"/>
          <w:szCs w:val="24"/>
        </w:rPr>
        <w:t xml:space="preserve">La recomendación </w:t>
      </w:r>
      <w:r w:rsidR="00F82769" w:rsidRPr="005F28DB">
        <w:rPr>
          <w:rFonts w:ascii="Times New Roman" w:hAnsi="Times New Roman" w:cs="Times New Roman"/>
          <w:sz w:val="24"/>
          <w:szCs w:val="24"/>
        </w:rPr>
        <w:t>11 sobre: “Despenalizar el aborto por violación y el aborto terapéutico, entendido como el producido para salvar la vida de la madre o evitarle un daño grave o permanente a su salud física y mental”.</w:t>
      </w:r>
      <w:r w:rsidR="00A14458" w:rsidRPr="005F28DB">
        <w:rPr>
          <w:rFonts w:ascii="Times New Roman" w:hAnsi="Times New Roman" w:cs="Times New Roman"/>
          <w:sz w:val="24"/>
          <w:szCs w:val="24"/>
        </w:rPr>
        <w:t xml:space="preserve"> El </w:t>
      </w:r>
      <w:r w:rsidR="00832571" w:rsidRPr="005F28DB">
        <w:rPr>
          <w:rFonts w:ascii="Times New Roman" w:hAnsi="Times New Roman" w:cs="Times New Roman"/>
          <w:sz w:val="24"/>
          <w:szCs w:val="24"/>
        </w:rPr>
        <w:t>n</w:t>
      </w:r>
      <w:r w:rsidR="00737447" w:rsidRPr="005F28DB">
        <w:rPr>
          <w:rFonts w:ascii="Times New Roman" w:hAnsi="Times New Roman" w:cs="Times New Roman"/>
          <w:sz w:val="24"/>
          <w:szCs w:val="24"/>
        </w:rPr>
        <w:t xml:space="preserve">umeral 14 sobre: </w:t>
      </w:r>
      <w:r w:rsidR="00F82769" w:rsidRPr="005F28DB">
        <w:rPr>
          <w:rFonts w:ascii="Times New Roman" w:hAnsi="Times New Roman" w:cs="Times New Roman"/>
          <w:sz w:val="24"/>
          <w:szCs w:val="24"/>
        </w:rPr>
        <w:t>“Adoptar disposiciones que garanticen la distribución de la anticoncepción de emergencia en los servicios públicos de salud, y asegurar su pleno cumplimiento removiendo los obstáculos que lo impidan”.</w:t>
      </w:r>
      <w:r w:rsidR="00737447" w:rsidRPr="005F28DB">
        <w:rPr>
          <w:rFonts w:ascii="Times New Roman" w:hAnsi="Times New Roman" w:cs="Times New Roman"/>
          <w:sz w:val="24"/>
          <w:szCs w:val="24"/>
        </w:rPr>
        <w:t xml:space="preserve"> </w:t>
      </w:r>
      <w:r w:rsidR="00F82769" w:rsidRPr="005F28DB">
        <w:rPr>
          <w:rFonts w:ascii="Times New Roman" w:hAnsi="Times New Roman" w:cs="Times New Roman"/>
          <w:sz w:val="24"/>
          <w:szCs w:val="24"/>
        </w:rPr>
        <w:t xml:space="preserve"> </w:t>
      </w:r>
      <w:r w:rsidR="003D17AF" w:rsidRPr="005F28DB">
        <w:rPr>
          <w:rFonts w:ascii="Times New Roman" w:hAnsi="Times New Roman" w:cs="Times New Roman"/>
          <w:sz w:val="24"/>
          <w:szCs w:val="24"/>
        </w:rPr>
        <w:t>Y</w:t>
      </w:r>
      <w:r w:rsidR="00737447" w:rsidRPr="005F28DB">
        <w:rPr>
          <w:rFonts w:ascii="Times New Roman" w:hAnsi="Times New Roman" w:cs="Times New Roman"/>
          <w:sz w:val="24"/>
          <w:szCs w:val="24"/>
        </w:rPr>
        <w:t xml:space="preserve"> </w:t>
      </w:r>
      <w:r w:rsidR="00A14458" w:rsidRPr="005F28DB">
        <w:rPr>
          <w:rFonts w:ascii="Times New Roman" w:hAnsi="Times New Roman" w:cs="Times New Roman"/>
          <w:sz w:val="24"/>
          <w:szCs w:val="24"/>
        </w:rPr>
        <w:t xml:space="preserve"> </w:t>
      </w:r>
      <w:r w:rsidR="003B46B8" w:rsidRPr="005F28DB">
        <w:rPr>
          <w:rFonts w:ascii="Times New Roman" w:hAnsi="Times New Roman" w:cs="Times New Roman"/>
          <w:sz w:val="24"/>
          <w:szCs w:val="24"/>
        </w:rPr>
        <w:t xml:space="preserve">la recomendación </w:t>
      </w:r>
      <w:r w:rsidR="00A96BE7" w:rsidRPr="005F28DB">
        <w:rPr>
          <w:rFonts w:ascii="Times New Roman" w:hAnsi="Times New Roman" w:cs="Times New Roman"/>
          <w:sz w:val="24"/>
          <w:szCs w:val="24"/>
        </w:rPr>
        <w:t>16</w:t>
      </w:r>
      <w:r w:rsidR="00737447" w:rsidRPr="005F28DB">
        <w:rPr>
          <w:rFonts w:ascii="Times New Roman" w:hAnsi="Times New Roman" w:cs="Times New Roman"/>
          <w:sz w:val="24"/>
          <w:szCs w:val="24"/>
        </w:rPr>
        <w:t xml:space="preserve">: </w:t>
      </w:r>
      <w:r w:rsidR="00F82769" w:rsidRPr="005F28DB">
        <w:rPr>
          <w:rFonts w:ascii="Times New Roman" w:hAnsi="Times New Roman" w:cs="Times New Roman"/>
          <w:sz w:val="24"/>
          <w:szCs w:val="24"/>
        </w:rPr>
        <w:t>“</w:t>
      </w:r>
      <w:r w:rsidR="00A14458" w:rsidRPr="005F28DB">
        <w:rPr>
          <w:rFonts w:ascii="Times New Roman" w:hAnsi="Times New Roman" w:cs="Times New Roman"/>
          <w:sz w:val="24"/>
          <w:szCs w:val="24"/>
        </w:rPr>
        <w:t>R</w:t>
      </w:r>
      <w:r w:rsidR="00737447" w:rsidRPr="005F28DB">
        <w:rPr>
          <w:rFonts w:ascii="Times New Roman" w:hAnsi="Times New Roman" w:cs="Times New Roman"/>
          <w:sz w:val="24"/>
          <w:szCs w:val="24"/>
        </w:rPr>
        <w:t>ealizar campañas de sensibilización sobre la violencia contra las mujeres y de conocimiento y promoción de sus derechos, con un marco temporal estable, y establecer mecanismos que permitan evaluar sus resultados</w:t>
      </w:r>
      <w:r w:rsidR="00F82769" w:rsidRPr="005F28DB">
        <w:rPr>
          <w:rFonts w:ascii="Times New Roman" w:hAnsi="Times New Roman" w:cs="Times New Roman"/>
          <w:sz w:val="24"/>
          <w:szCs w:val="24"/>
        </w:rPr>
        <w:t>”</w:t>
      </w:r>
      <w:r w:rsidR="00737447" w:rsidRPr="005F28DB">
        <w:rPr>
          <w:rFonts w:ascii="Times New Roman" w:hAnsi="Times New Roman" w:cs="Times New Roman"/>
          <w:sz w:val="24"/>
          <w:szCs w:val="24"/>
        </w:rPr>
        <w:t>.</w:t>
      </w:r>
    </w:p>
    <w:p w:rsidR="00832571" w:rsidRPr="005F28DB" w:rsidRDefault="00832571" w:rsidP="003D6EFF">
      <w:pPr>
        <w:pStyle w:val="ListParagraph"/>
        <w:spacing w:after="0" w:line="240" w:lineRule="auto"/>
        <w:rPr>
          <w:rFonts w:ascii="Times New Roman" w:hAnsi="Times New Roman" w:cs="Times New Roman"/>
          <w:sz w:val="24"/>
          <w:szCs w:val="24"/>
        </w:rPr>
      </w:pPr>
    </w:p>
    <w:p w:rsidR="00972BE6" w:rsidRPr="005F28DB" w:rsidRDefault="00972BE6"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Informe </w:t>
      </w:r>
      <w:r w:rsidR="003B46B8" w:rsidRPr="005F28DB">
        <w:rPr>
          <w:rFonts w:ascii="Times New Roman" w:hAnsi="Times New Roman" w:cs="Times New Roman"/>
          <w:sz w:val="24"/>
          <w:szCs w:val="24"/>
        </w:rPr>
        <w:t xml:space="preserve">proporcionado a través del sistema de indicadores </w:t>
      </w:r>
      <w:r w:rsidRPr="005F28DB">
        <w:rPr>
          <w:rFonts w:ascii="Times New Roman" w:hAnsi="Times New Roman" w:cs="Times New Roman"/>
          <w:sz w:val="24"/>
          <w:szCs w:val="24"/>
        </w:rPr>
        <w:t xml:space="preserve">tanto en el nivel estructural, de proceso como de resultado no marca adelanto en materia de legislación </w:t>
      </w:r>
      <w:r w:rsidRPr="005F28DB">
        <w:rPr>
          <w:rFonts w:ascii="Times New Roman" w:hAnsi="Times New Roman" w:cs="Times New Roman"/>
          <w:sz w:val="24"/>
          <w:szCs w:val="24"/>
        </w:rPr>
        <w:lastRenderedPageBreak/>
        <w:t xml:space="preserve">de cara a las inquietudes presentadas en la Primera y Segunda ronda de evaluación multilateral del MESECVI.  </w:t>
      </w:r>
      <w:r w:rsidR="003B46B8" w:rsidRPr="005F28DB">
        <w:rPr>
          <w:rFonts w:ascii="Times New Roman" w:hAnsi="Times New Roman" w:cs="Times New Roman"/>
          <w:sz w:val="24"/>
          <w:szCs w:val="24"/>
        </w:rPr>
        <w:t xml:space="preserve">En cuanto </w:t>
      </w:r>
      <w:r w:rsidR="003E3815" w:rsidRPr="005F28DB">
        <w:rPr>
          <w:rFonts w:ascii="Times New Roman" w:hAnsi="Times New Roman" w:cs="Times New Roman"/>
          <w:sz w:val="24"/>
          <w:szCs w:val="24"/>
        </w:rPr>
        <w:t>a leyes específicas de violencia que incluyen asignac</w:t>
      </w:r>
      <w:r w:rsidR="003B46B8" w:rsidRPr="005F28DB">
        <w:rPr>
          <w:rFonts w:ascii="Times New Roman" w:hAnsi="Times New Roman" w:cs="Times New Roman"/>
          <w:sz w:val="24"/>
          <w:szCs w:val="24"/>
        </w:rPr>
        <w:t xml:space="preserve">ión de partidas presupuestarias, el Estado informó que  </w:t>
      </w:r>
      <w:r w:rsidR="007226E3" w:rsidRPr="005F28DB">
        <w:rPr>
          <w:rFonts w:ascii="Times New Roman" w:hAnsi="Times New Roman" w:cs="Times New Roman"/>
          <w:sz w:val="24"/>
          <w:szCs w:val="24"/>
        </w:rPr>
        <w:t>no se cuenta con los datos,</w:t>
      </w:r>
      <w:r w:rsidR="003E3815" w:rsidRPr="005F28DB">
        <w:rPr>
          <w:rFonts w:ascii="Times New Roman" w:hAnsi="Times New Roman" w:cs="Times New Roman"/>
          <w:sz w:val="24"/>
          <w:szCs w:val="24"/>
        </w:rPr>
        <w:t xml:space="preserve"> a pesar que la Ley No.886 que crea el Sistema Nacional para la Atención y Prevención de la Violencia contra las Mujeres y la violencia Intrafamiliar indican que las instituciones deben contar con los recursos necesarios en sus presupuestos ordinarios.    </w:t>
      </w:r>
    </w:p>
    <w:p w:rsidR="00B96F09" w:rsidRPr="005F28DB" w:rsidRDefault="00B96F09" w:rsidP="00B96F09">
      <w:pPr>
        <w:pStyle w:val="ListParagraph"/>
        <w:rPr>
          <w:rFonts w:ascii="Times New Roman" w:hAnsi="Times New Roman" w:cs="Times New Roman"/>
          <w:sz w:val="24"/>
          <w:szCs w:val="24"/>
        </w:rPr>
      </w:pPr>
    </w:p>
    <w:p w:rsidR="00B96F09" w:rsidRPr="005F28DB" w:rsidRDefault="00B96F09" w:rsidP="00B96F09">
      <w:pPr>
        <w:pStyle w:val="ListParagraph"/>
        <w:spacing w:after="0" w:line="240" w:lineRule="auto"/>
        <w:jc w:val="both"/>
        <w:rPr>
          <w:rFonts w:ascii="Times New Roman" w:hAnsi="Times New Roman" w:cs="Times New Roman"/>
          <w:sz w:val="24"/>
          <w:szCs w:val="24"/>
        </w:rPr>
      </w:pPr>
      <w:bookmarkStart w:id="0" w:name="_GoBack"/>
      <w:bookmarkEnd w:id="0"/>
    </w:p>
    <w:p w:rsidR="000E2997" w:rsidRPr="005F28DB" w:rsidRDefault="000E2997" w:rsidP="003D6EFF">
      <w:pPr>
        <w:pStyle w:val="ListParagraph"/>
        <w:spacing w:after="0" w:line="240" w:lineRule="auto"/>
        <w:rPr>
          <w:rFonts w:ascii="Times New Roman" w:hAnsi="Times New Roman" w:cs="Times New Roman"/>
          <w:b/>
          <w:sz w:val="24"/>
          <w:szCs w:val="24"/>
        </w:rPr>
      </w:pPr>
    </w:p>
    <w:p w:rsidR="00832571" w:rsidRPr="005F28DB" w:rsidRDefault="000E2997" w:rsidP="003D6EFF">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jc w:val="both"/>
        <w:rPr>
          <w:rFonts w:ascii="Times New Roman" w:hAnsi="Times New Roman" w:cs="Times New Roman"/>
          <w:b/>
          <w:bCs/>
          <w:color w:val="000000"/>
          <w:sz w:val="24"/>
          <w:szCs w:val="24"/>
        </w:rPr>
      </w:pPr>
      <w:r w:rsidRPr="005F28DB">
        <w:rPr>
          <w:rFonts w:ascii="Times New Roman" w:hAnsi="Times New Roman" w:cs="Times New Roman"/>
          <w:b/>
          <w:sz w:val="24"/>
          <w:szCs w:val="24"/>
        </w:rPr>
        <w:t xml:space="preserve">   </w:t>
      </w:r>
      <w:r w:rsidR="00832571" w:rsidRPr="005F28DB">
        <w:rPr>
          <w:rFonts w:ascii="Times New Roman" w:hAnsi="Times New Roman" w:cs="Times New Roman"/>
          <w:b/>
          <w:sz w:val="24"/>
          <w:szCs w:val="24"/>
        </w:rPr>
        <w:t>PLANES NACIONALES – Arts. 1, 2, 7 y 8 incisos c) y d)</w:t>
      </w:r>
      <w:r w:rsidR="00832571" w:rsidRPr="005F28DB">
        <w:rPr>
          <w:rFonts w:ascii="Times New Roman" w:hAnsi="Times New Roman" w:cs="Times New Roman"/>
          <w:b/>
          <w:bCs/>
          <w:color w:val="000000"/>
          <w:sz w:val="24"/>
          <w:szCs w:val="24"/>
        </w:rPr>
        <w:t xml:space="preserve"> de la Convención de Belém do Pará</w:t>
      </w:r>
    </w:p>
    <w:p w:rsidR="00832571" w:rsidRPr="005F28DB" w:rsidRDefault="00832571" w:rsidP="003D6EFF">
      <w:pPr>
        <w:spacing w:after="0" w:line="240" w:lineRule="auto"/>
        <w:jc w:val="both"/>
        <w:rPr>
          <w:rFonts w:ascii="Times New Roman" w:hAnsi="Times New Roman" w:cs="Times New Roman"/>
          <w:b/>
          <w:sz w:val="24"/>
          <w:szCs w:val="24"/>
        </w:rPr>
      </w:pPr>
    </w:p>
    <w:p w:rsidR="00832571" w:rsidRPr="005F28DB" w:rsidRDefault="003A42A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Se aprecia significativamente </w:t>
      </w:r>
      <w:r w:rsidR="009A0465" w:rsidRPr="005F28DB">
        <w:rPr>
          <w:rFonts w:ascii="Times New Roman" w:hAnsi="Times New Roman" w:cs="Times New Roman"/>
          <w:sz w:val="24"/>
          <w:szCs w:val="24"/>
        </w:rPr>
        <w:t xml:space="preserve">que el Estado </w:t>
      </w:r>
      <w:r w:rsidR="003B46B8" w:rsidRPr="005F28DB">
        <w:rPr>
          <w:rFonts w:ascii="Times New Roman" w:hAnsi="Times New Roman" w:cs="Times New Roman"/>
          <w:sz w:val="24"/>
          <w:szCs w:val="24"/>
        </w:rPr>
        <w:t>cuente con un marco estratégico</w:t>
      </w:r>
      <w:r w:rsidR="009A0465" w:rsidRPr="005F28DB">
        <w:rPr>
          <w:rFonts w:ascii="Times New Roman" w:hAnsi="Times New Roman" w:cs="Times New Roman"/>
          <w:sz w:val="24"/>
          <w:szCs w:val="24"/>
        </w:rPr>
        <w:t xml:space="preserve"> para echar andar de forma programática las acciones contra la violencia a la mujer en tal sentido</w:t>
      </w:r>
      <w:r w:rsidR="007A65BB" w:rsidRPr="005F28DB">
        <w:rPr>
          <w:rFonts w:ascii="Times New Roman" w:hAnsi="Times New Roman" w:cs="Times New Roman"/>
          <w:sz w:val="24"/>
          <w:szCs w:val="24"/>
        </w:rPr>
        <w:t>;</w:t>
      </w:r>
      <w:r w:rsidR="009A0465" w:rsidRPr="005F28DB">
        <w:rPr>
          <w:rFonts w:ascii="Times New Roman" w:hAnsi="Times New Roman" w:cs="Times New Roman"/>
          <w:sz w:val="24"/>
          <w:szCs w:val="24"/>
        </w:rPr>
        <w:t xml:space="preserve"> la existencia de</w:t>
      </w:r>
      <w:r w:rsidR="00097128" w:rsidRPr="005F28DB">
        <w:rPr>
          <w:rFonts w:ascii="Times New Roman" w:hAnsi="Times New Roman" w:cs="Times New Roman"/>
          <w:sz w:val="24"/>
          <w:szCs w:val="24"/>
        </w:rPr>
        <w:t>sde 1995 de</w:t>
      </w:r>
      <w:r w:rsidR="009A0465" w:rsidRPr="005F28DB">
        <w:rPr>
          <w:rFonts w:ascii="Times New Roman" w:hAnsi="Times New Roman" w:cs="Times New Roman"/>
          <w:sz w:val="24"/>
          <w:szCs w:val="24"/>
        </w:rPr>
        <w:t xml:space="preserve"> la Política Nacional para la Prevención y Atención de la Violencia contra las Mujeres y su plan de acción, actualizado en el año 2010 y vigente hasta el</w:t>
      </w:r>
      <w:r w:rsidR="00E734BE" w:rsidRPr="005F28DB">
        <w:rPr>
          <w:rFonts w:ascii="Times New Roman" w:hAnsi="Times New Roman" w:cs="Times New Roman"/>
          <w:sz w:val="24"/>
          <w:szCs w:val="24"/>
        </w:rPr>
        <w:t xml:space="preserve"> 2015 </w:t>
      </w:r>
      <w:r w:rsidR="009A0465" w:rsidRPr="005F28DB">
        <w:rPr>
          <w:rFonts w:ascii="Times New Roman" w:hAnsi="Times New Roman" w:cs="Times New Roman"/>
          <w:sz w:val="24"/>
          <w:szCs w:val="24"/>
        </w:rPr>
        <w:t xml:space="preserve"> (PLANOVI-MUJER 2010-2015) trabajado de manera específica a través del área de Violencia de Género y</w:t>
      </w:r>
      <w:r w:rsidR="00E734BE" w:rsidRPr="005F28DB">
        <w:rPr>
          <w:rFonts w:ascii="Times New Roman" w:hAnsi="Times New Roman" w:cs="Times New Roman"/>
          <w:sz w:val="24"/>
          <w:szCs w:val="24"/>
        </w:rPr>
        <w:t xml:space="preserve"> que</w:t>
      </w:r>
      <w:r w:rsidR="009A0465" w:rsidRPr="005F28DB">
        <w:rPr>
          <w:rFonts w:ascii="Times New Roman" w:hAnsi="Times New Roman" w:cs="Times New Roman"/>
          <w:sz w:val="24"/>
          <w:szCs w:val="24"/>
        </w:rPr>
        <w:t xml:space="preserve"> está incluido en el Plan Operativo del INAMU</w:t>
      </w:r>
      <w:r w:rsidR="00E734BE" w:rsidRPr="005F28DB">
        <w:rPr>
          <w:rFonts w:ascii="Times New Roman" w:hAnsi="Times New Roman" w:cs="Times New Roman"/>
          <w:sz w:val="24"/>
          <w:szCs w:val="24"/>
        </w:rPr>
        <w:t xml:space="preserve">. </w:t>
      </w:r>
    </w:p>
    <w:p w:rsidR="00832571" w:rsidRPr="005F28DB" w:rsidRDefault="00832571" w:rsidP="003D6EFF">
      <w:pPr>
        <w:pStyle w:val="ListParagraph"/>
        <w:spacing w:after="0" w:line="240" w:lineRule="auto"/>
        <w:jc w:val="both"/>
        <w:rPr>
          <w:rFonts w:ascii="Times New Roman" w:hAnsi="Times New Roman" w:cs="Times New Roman"/>
          <w:sz w:val="24"/>
          <w:szCs w:val="24"/>
        </w:rPr>
      </w:pPr>
    </w:p>
    <w:p w:rsidR="00832571" w:rsidRPr="005F28DB" w:rsidRDefault="00097128"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PLANOVI se ejecuta a través del Sistema Nacional de Atención y Prevención de la Violencia contra las Mujeres y Violencia Intrafamiliar, creado mediante la Ley No. 8688 del 19 de diciembre de 2009, que incluye en su composición a las instituciones del Poder Ejecutivo, otras instancias del Estado y a representantes de la sociedad civil.</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E734BE"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Este Plan incluye diversas áreas, entre las cuales </w:t>
      </w:r>
      <w:r w:rsidR="003B46B8" w:rsidRPr="005F28DB">
        <w:rPr>
          <w:rFonts w:ascii="Times New Roman" w:hAnsi="Times New Roman" w:cs="Times New Roman"/>
          <w:sz w:val="24"/>
          <w:szCs w:val="24"/>
        </w:rPr>
        <w:t xml:space="preserve">destacan: la </w:t>
      </w:r>
      <w:r w:rsidRPr="005F28DB">
        <w:rPr>
          <w:rFonts w:ascii="Times New Roman" w:hAnsi="Times New Roman" w:cs="Times New Roman"/>
          <w:sz w:val="24"/>
          <w:szCs w:val="24"/>
        </w:rPr>
        <w:t>atención a víctimas</w:t>
      </w:r>
      <w:r w:rsidR="00962400" w:rsidRPr="005F28DB">
        <w:rPr>
          <w:rFonts w:ascii="Times New Roman" w:hAnsi="Times New Roman" w:cs="Times New Roman"/>
          <w:sz w:val="24"/>
          <w:szCs w:val="24"/>
        </w:rPr>
        <w:t xml:space="preserve"> y</w:t>
      </w:r>
      <w:r w:rsidR="003B46B8" w:rsidRPr="005F28DB">
        <w:rPr>
          <w:rFonts w:ascii="Times New Roman" w:hAnsi="Times New Roman" w:cs="Times New Roman"/>
          <w:sz w:val="24"/>
          <w:szCs w:val="24"/>
        </w:rPr>
        <w:t xml:space="preserve"> procesos de capacitación. A</w:t>
      </w:r>
      <w:r w:rsidR="009A0465" w:rsidRPr="005F28DB">
        <w:rPr>
          <w:rFonts w:ascii="Times New Roman" w:hAnsi="Times New Roman" w:cs="Times New Roman"/>
          <w:sz w:val="24"/>
          <w:szCs w:val="24"/>
        </w:rPr>
        <w:t xml:space="preserve"> la fecha</w:t>
      </w:r>
      <w:r w:rsidR="00234A1B" w:rsidRPr="005F28DB">
        <w:rPr>
          <w:rFonts w:ascii="Times New Roman" w:hAnsi="Times New Roman" w:cs="Times New Roman"/>
          <w:sz w:val="24"/>
          <w:szCs w:val="24"/>
        </w:rPr>
        <w:t xml:space="preserve"> de informe,</w:t>
      </w:r>
      <w:r w:rsidR="009A0465" w:rsidRPr="005F28DB">
        <w:rPr>
          <w:rFonts w:ascii="Times New Roman" w:hAnsi="Times New Roman" w:cs="Times New Roman"/>
          <w:sz w:val="24"/>
          <w:szCs w:val="24"/>
        </w:rPr>
        <w:t xml:space="preserve"> e</w:t>
      </w:r>
      <w:r w:rsidR="00962400" w:rsidRPr="005F28DB">
        <w:rPr>
          <w:rFonts w:ascii="Times New Roman" w:hAnsi="Times New Roman" w:cs="Times New Roman"/>
          <w:sz w:val="24"/>
          <w:szCs w:val="24"/>
        </w:rPr>
        <w:t xml:space="preserve">l Plan </w:t>
      </w:r>
      <w:r w:rsidR="009A0465" w:rsidRPr="005F28DB">
        <w:rPr>
          <w:rFonts w:ascii="Times New Roman" w:hAnsi="Times New Roman" w:cs="Times New Roman"/>
          <w:sz w:val="24"/>
          <w:szCs w:val="24"/>
        </w:rPr>
        <w:t xml:space="preserve">no ha integrado especificaciones para poblaciones diversas. </w:t>
      </w:r>
      <w:r w:rsidRPr="005F28DB">
        <w:rPr>
          <w:rFonts w:ascii="Times New Roman" w:hAnsi="Times New Roman" w:cs="Times New Roman"/>
          <w:sz w:val="24"/>
          <w:szCs w:val="24"/>
        </w:rPr>
        <w:t>H</w:t>
      </w:r>
      <w:r w:rsidR="009A0465" w:rsidRPr="005F28DB">
        <w:rPr>
          <w:rFonts w:ascii="Times New Roman" w:hAnsi="Times New Roman" w:cs="Times New Roman"/>
          <w:sz w:val="24"/>
          <w:szCs w:val="24"/>
        </w:rPr>
        <w:t>ay una rica y exponencial lista de capacitaciones ofrecida por el Ministerio de Seguridad, el Poder Judicial</w:t>
      </w:r>
      <w:r w:rsidRPr="005F28DB">
        <w:rPr>
          <w:rFonts w:ascii="Times New Roman" w:hAnsi="Times New Roman" w:cs="Times New Roman"/>
          <w:sz w:val="24"/>
          <w:szCs w:val="24"/>
        </w:rPr>
        <w:t>, el INAMU, Ministerio de Justicia, Ministerio de Trabajo, con listado de temas y número de participantes benefi</w:t>
      </w:r>
      <w:r w:rsidR="003B46B8" w:rsidRPr="005F28DB">
        <w:rPr>
          <w:rFonts w:ascii="Times New Roman" w:hAnsi="Times New Roman" w:cs="Times New Roman"/>
          <w:sz w:val="24"/>
          <w:szCs w:val="24"/>
        </w:rPr>
        <w:t xml:space="preserve">ciados con la acción formativa, </w:t>
      </w:r>
      <w:r w:rsidRPr="005F28DB">
        <w:rPr>
          <w:rFonts w:ascii="Times New Roman" w:hAnsi="Times New Roman" w:cs="Times New Roman"/>
          <w:sz w:val="24"/>
          <w:szCs w:val="24"/>
        </w:rPr>
        <w:t>pero solo INAMU</w:t>
      </w:r>
      <w:r w:rsidR="007A65BB" w:rsidRPr="005F28DB">
        <w:rPr>
          <w:rFonts w:ascii="Times New Roman" w:hAnsi="Times New Roman" w:cs="Times New Roman"/>
          <w:sz w:val="24"/>
          <w:szCs w:val="24"/>
        </w:rPr>
        <w:t>,</w:t>
      </w:r>
      <w:r w:rsidR="003B46B8" w:rsidRPr="005F28DB">
        <w:rPr>
          <w:rFonts w:ascii="Times New Roman" w:hAnsi="Times New Roman" w:cs="Times New Roman"/>
          <w:sz w:val="24"/>
          <w:szCs w:val="24"/>
        </w:rPr>
        <w:t xml:space="preserve"> Seguridad Pública y Escuela J</w:t>
      </w:r>
      <w:r w:rsidRPr="005F28DB">
        <w:rPr>
          <w:rFonts w:ascii="Times New Roman" w:hAnsi="Times New Roman" w:cs="Times New Roman"/>
          <w:sz w:val="24"/>
          <w:szCs w:val="24"/>
        </w:rPr>
        <w:t xml:space="preserve">udicial indican </w:t>
      </w:r>
      <w:r w:rsidR="003B46B8" w:rsidRPr="005F28DB">
        <w:rPr>
          <w:rFonts w:ascii="Times New Roman" w:hAnsi="Times New Roman" w:cs="Times New Roman"/>
          <w:sz w:val="24"/>
          <w:szCs w:val="24"/>
        </w:rPr>
        <w:t xml:space="preserve">que </w:t>
      </w:r>
      <w:r w:rsidRPr="005F28DB">
        <w:rPr>
          <w:rFonts w:ascii="Times New Roman" w:hAnsi="Times New Roman" w:cs="Times New Roman"/>
          <w:sz w:val="24"/>
          <w:szCs w:val="24"/>
        </w:rPr>
        <w:t>cuentan con planes de formación permanente.</w:t>
      </w:r>
      <w:r w:rsidR="000E2997" w:rsidRPr="005F28DB">
        <w:rPr>
          <w:rFonts w:ascii="Times New Roman" w:hAnsi="Times New Roman" w:cs="Times New Roman"/>
          <w:sz w:val="24"/>
          <w:szCs w:val="24"/>
        </w:rPr>
        <w:t xml:space="preserve"> </w:t>
      </w:r>
      <w:r w:rsidR="003B46B8" w:rsidRPr="005F28DB">
        <w:rPr>
          <w:rFonts w:ascii="Times New Roman" w:hAnsi="Times New Roman" w:cs="Times New Roman"/>
          <w:sz w:val="24"/>
          <w:szCs w:val="24"/>
        </w:rPr>
        <w:t xml:space="preserve">El </w:t>
      </w:r>
      <w:r w:rsidR="00C47DF7" w:rsidRPr="005F28DB">
        <w:rPr>
          <w:rFonts w:ascii="Times New Roman" w:hAnsi="Times New Roman" w:cs="Times New Roman"/>
          <w:sz w:val="24"/>
          <w:szCs w:val="24"/>
        </w:rPr>
        <w:t xml:space="preserve">Mecanismo de la Mujer </w:t>
      </w:r>
      <w:r w:rsidR="00234A1B" w:rsidRPr="005F28DB">
        <w:rPr>
          <w:rFonts w:ascii="Times New Roman" w:hAnsi="Times New Roman" w:cs="Times New Roman"/>
          <w:sz w:val="24"/>
          <w:szCs w:val="24"/>
        </w:rPr>
        <w:t>reconoce que actualmente,</w:t>
      </w:r>
      <w:r w:rsidR="00C47DF7" w:rsidRPr="005F28DB">
        <w:rPr>
          <w:rFonts w:ascii="Times New Roman" w:hAnsi="Times New Roman" w:cs="Times New Roman"/>
          <w:sz w:val="24"/>
          <w:szCs w:val="24"/>
        </w:rPr>
        <w:t xml:space="preserve">  no se cuenta con un sistema automatizado que permita acceder a la información de manera inmediata ni se han diseñado mecanismos de </w:t>
      </w:r>
      <w:r w:rsidR="003B46B8" w:rsidRPr="005F28DB">
        <w:rPr>
          <w:rFonts w:ascii="Times New Roman" w:hAnsi="Times New Roman" w:cs="Times New Roman"/>
          <w:sz w:val="24"/>
          <w:szCs w:val="24"/>
        </w:rPr>
        <w:t>e</w:t>
      </w:r>
      <w:r w:rsidR="00C47DF7" w:rsidRPr="005F28DB">
        <w:rPr>
          <w:rFonts w:ascii="Times New Roman" w:hAnsi="Times New Roman" w:cs="Times New Roman"/>
          <w:sz w:val="24"/>
          <w:szCs w:val="24"/>
        </w:rPr>
        <w:t>valuación.</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6952EA"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este mismo orden de ideas</w:t>
      </w:r>
      <w:r w:rsidR="000E2997" w:rsidRPr="005F28DB">
        <w:rPr>
          <w:rFonts w:ascii="Times New Roman" w:hAnsi="Times New Roman" w:cs="Times New Roman"/>
          <w:sz w:val="24"/>
          <w:szCs w:val="24"/>
        </w:rPr>
        <w:t>,</w:t>
      </w:r>
      <w:r w:rsidRPr="005F28DB">
        <w:rPr>
          <w:rFonts w:ascii="Times New Roman" w:hAnsi="Times New Roman" w:cs="Times New Roman"/>
          <w:sz w:val="24"/>
          <w:szCs w:val="24"/>
        </w:rPr>
        <w:t xml:space="preserve"> existen </w:t>
      </w:r>
      <w:r w:rsidR="00777F7A" w:rsidRPr="005F28DB">
        <w:rPr>
          <w:rFonts w:ascii="Times New Roman" w:hAnsi="Times New Roman" w:cs="Times New Roman"/>
          <w:sz w:val="24"/>
          <w:szCs w:val="24"/>
        </w:rPr>
        <w:t xml:space="preserve">programas estatales en tres universidades con ofertas académicas que permitirán cubrir áreas de especialización </w:t>
      </w:r>
      <w:r w:rsidR="00962400" w:rsidRPr="005F28DB">
        <w:rPr>
          <w:rFonts w:ascii="Times New Roman" w:hAnsi="Times New Roman" w:cs="Times New Roman"/>
          <w:sz w:val="24"/>
          <w:szCs w:val="24"/>
        </w:rPr>
        <w:t xml:space="preserve">de profesionales de diversas disciplinas entre los </w:t>
      </w:r>
      <w:r w:rsidR="003B46B8" w:rsidRPr="005F28DB">
        <w:rPr>
          <w:rFonts w:ascii="Times New Roman" w:hAnsi="Times New Roman" w:cs="Times New Roman"/>
          <w:sz w:val="24"/>
          <w:szCs w:val="24"/>
        </w:rPr>
        <w:t xml:space="preserve">cuales se señalan: </w:t>
      </w:r>
      <w:r w:rsidR="00962400" w:rsidRPr="005F28DB">
        <w:rPr>
          <w:rFonts w:ascii="Times New Roman" w:hAnsi="Times New Roman" w:cs="Times New Roman"/>
          <w:sz w:val="24"/>
          <w:szCs w:val="24"/>
        </w:rPr>
        <w:t>c</w:t>
      </w:r>
      <w:r w:rsidR="003B46B8" w:rsidRPr="005F28DB">
        <w:rPr>
          <w:rFonts w:ascii="Times New Roman" w:hAnsi="Times New Roman" w:cs="Times New Roman"/>
          <w:sz w:val="24"/>
          <w:szCs w:val="24"/>
        </w:rPr>
        <w:t xml:space="preserve">riminólogos, sicólogos forenses así como estudios de </w:t>
      </w:r>
      <w:r w:rsidR="00962400" w:rsidRPr="005F28DB">
        <w:rPr>
          <w:rFonts w:ascii="Times New Roman" w:hAnsi="Times New Roman" w:cs="Times New Roman"/>
          <w:sz w:val="24"/>
          <w:szCs w:val="24"/>
        </w:rPr>
        <w:t>ciencias aplicadas a la atención en</w:t>
      </w:r>
      <w:r w:rsidR="00777F7A" w:rsidRPr="005F28DB">
        <w:rPr>
          <w:rFonts w:ascii="Times New Roman" w:hAnsi="Times New Roman" w:cs="Times New Roman"/>
          <w:sz w:val="24"/>
          <w:szCs w:val="24"/>
        </w:rPr>
        <w:t xml:space="preserve"> violencia contra la mujer.</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234A1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lastRenderedPageBreak/>
        <w:t>Se han integrado</w:t>
      </w:r>
      <w:r w:rsidR="004127E0" w:rsidRPr="005F28DB">
        <w:rPr>
          <w:rFonts w:ascii="Times New Roman" w:hAnsi="Times New Roman" w:cs="Times New Roman"/>
          <w:sz w:val="24"/>
          <w:szCs w:val="24"/>
        </w:rPr>
        <w:t xml:space="preserve"> 77 redes locales de atención</w:t>
      </w:r>
      <w:r w:rsidRPr="005F28DB">
        <w:rPr>
          <w:rFonts w:ascii="Times New Roman" w:hAnsi="Times New Roman" w:cs="Times New Roman"/>
          <w:sz w:val="24"/>
          <w:szCs w:val="24"/>
        </w:rPr>
        <w:t xml:space="preserve"> y prevención de la violencia que están en </w:t>
      </w:r>
      <w:r w:rsidR="004127E0" w:rsidRPr="005F28DB">
        <w:rPr>
          <w:rFonts w:ascii="Times New Roman" w:hAnsi="Times New Roman" w:cs="Times New Roman"/>
          <w:sz w:val="24"/>
          <w:szCs w:val="24"/>
        </w:rPr>
        <w:t xml:space="preserve">funcionamiento. Estas redes son una instancia del Sistema Nacional para la Atención y Prevención de la Violencia. Se cuenta con registro del número de instituciones que participan en cada una de las redes locales, cuya representatividad difiere en función de la disponibilidad de oficinas en cada localidad.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234A1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Existen carencias en cuanto a</w:t>
      </w:r>
      <w:r w:rsidR="003B46B8" w:rsidRPr="005F28DB">
        <w:rPr>
          <w:rFonts w:ascii="Times New Roman" w:hAnsi="Times New Roman" w:cs="Times New Roman"/>
          <w:sz w:val="24"/>
          <w:szCs w:val="24"/>
        </w:rPr>
        <w:t xml:space="preserve"> la </w:t>
      </w:r>
      <w:r w:rsidR="006952EA" w:rsidRPr="005F28DB">
        <w:rPr>
          <w:rFonts w:ascii="Times New Roman" w:hAnsi="Times New Roman" w:cs="Times New Roman"/>
          <w:sz w:val="24"/>
          <w:szCs w:val="24"/>
        </w:rPr>
        <w:t>información disponible sobre</w:t>
      </w:r>
      <w:r w:rsidR="006F6EF8" w:rsidRPr="005F28DB">
        <w:rPr>
          <w:rFonts w:ascii="Times New Roman" w:hAnsi="Times New Roman" w:cs="Times New Roman"/>
          <w:sz w:val="24"/>
          <w:szCs w:val="24"/>
        </w:rPr>
        <w:t xml:space="preserve"> </w:t>
      </w:r>
      <w:r w:rsidR="003B46B8" w:rsidRPr="005F28DB">
        <w:rPr>
          <w:rFonts w:ascii="Times New Roman" w:hAnsi="Times New Roman" w:cs="Times New Roman"/>
          <w:sz w:val="24"/>
          <w:szCs w:val="24"/>
        </w:rPr>
        <w:t xml:space="preserve">el </w:t>
      </w:r>
      <w:r w:rsidR="006F6EF8" w:rsidRPr="005F28DB">
        <w:rPr>
          <w:rFonts w:ascii="Times New Roman" w:hAnsi="Times New Roman" w:cs="Times New Roman"/>
          <w:sz w:val="24"/>
          <w:szCs w:val="24"/>
        </w:rPr>
        <w:t>porcentaje de niñas, adolescentes, mujeres adultas, adultas mayores</w:t>
      </w:r>
      <w:r w:rsidR="000F59A2" w:rsidRPr="005F28DB">
        <w:rPr>
          <w:rFonts w:ascii="Times New Roman" w:hAnsi="Times New Roman" w:cs="Times New Roman"/>
          <w:sz w:val="24"/>
          <w:szCs w:val="24"/>
        </w:rPr>
        <w:t xml:space="preserve"> </w:t>
      </w:r>
      <w:r w:rsidR="006F6EF8" w:rsidRPr="005F28DB">
        <w:rPr>
          <w:rFonts w:ascii="Times New Roman" w:hAnsi="Times New Roman" w:cs="Times New Roman"/>
          <w:sz w:val="24"/>
          <w:szCs w:val="24"/>
        </w:rPr>
        <w:t>de diferentes etnias, identidad sexual,</w:t>
      </w:r>
      <w:r w:rsidRPr="005F28DB">
        <w:rPr>
          <w:rFonts w:ascii="Times New Roman" w:hAnsi="Times New Roman" w:cs="Times New Roman"/>
          <w:sz w:val="24"/>
          <w:szCs w:val="24"/>
        </w:rPr>
        <w:t xml:space="preserve"> rurales o con discapacidad </w:t>
      </w:r>
      <w:r w:rsidR="003B46B8" w:rsidRPr="005F28DB">
        <w:rPr>
          <w:rFonts w:ascii="Times New Roman" w:hAnsi="Times New Roman" w:cs="Times New Roman"/>
          <w:sz w:val="24"/>
          <w:szCs w:val="24"/>
        </w:rPr>
        <w:t xml:space="preserve"> además del </w:t>
      </w:r>
      <w:r w:rsidR="006C1F55" w:rsidRPr="005F28DB">
        <w:rPr>
          <w:rFonts w:ascii="Times New Roman" w:hAnsi="Times New Roman" w:cs="Times New Roman"/>
          <w:sz w:val="24"/>
          <w:szCs w:val="24"/>
        </w:rPr>
        <w:t>nivel de</w:t>
      </w:r>
      <w:r w:rsidR="006F6EF8" w:rsidRPr="005F28DB">
        <w:rPr>
          <w:rFonts w:ascii="Times New Roman" w:hAnsi="Times New Roman" w:cs="Times New Roman"/>
          <w:sz w:val="24"/>
          <w:szCs w:val="24"/>
        </w:rPr>
        <w:t xml:space="preserve"> conocimiento sobre sus derechos</w:t>
      </w:r>
      <w:r w:rsidR="006C1F55" w:rsidRPr="005F28DB">
        <w:rPr>
          <w:rFonts w:ascii="Times New Roman" w:hAnsi="Times New Roman" w:cs="Times New Roman"/>
          <w:sz w:val="24"/>
          <w:szCs w:val="24"/>
        </w:rPr>
        <w:t>,  o si están informadas</w:t>
      </w:r>
      <w:r w:rsidR="000F59A2" w:rsidRPr="005F28DB">
        <w:rPr>
          <w:rFonts w:ascii="Times New Roman" w:hAnsi="Times New Roman" w:cs="Times New Roman"/>
          <w:sz w:val="24"/>
          <w:szCs w:val="24"/>
        </w:rPr>
        <w:t xml:space="preserve"> </w:t>
      </w:r>
      <w:r w:rsidR="006F6EF8" w:rsidRPr="005F28DB">
        <w:rPr>
          <w:rFonts w:ascii="Times New Roman" w:hAnsi="Times New Roman" w:cs="Times New Roman"/>
          <w:sz w:val="24"/>
          <w:szCs w:val="24"/>
        </w:rPr>
        <w:t xml:space="preserve"> de la </w:t>
      </w:r>
      <w:r w:rsidR="00C47DF7" w:rsidRPr="005F28DB">
        <w:rPr>
          <w:rFonts w:ascii="Times New Roman" w:hAnsi="Times New Roman" w:cs="Times New Roman"/>
          <w:sz w:val="24"/>
          <w:szCs w:val="24"/>
        </w:rPr>
        <w:t>e</w:t>
      </w:r>
      <w:r w:rsidR="006F6EF8" w:rsidRPr="005F28DB">
        <w:rPr>
          <w:rFonts w:ascii="Times New Roman" w:hAnsi="Times New Roman" w:cs="Times New Roman"/>
          <w:sz w:val="24"/>
          <w:szCs w:val="24"/>
        </w:rPr>
        <w:t xml:space="preserve">xistencia de servicios especializados para diversas manifestaciones de violencia.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5D1472"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Contrasta de forma positiva que </w:t>
      </w:r>
      <w:r w:rsidR="003B46B8" w:rsidRPr="005F28DB">
        <w:rPr>
          <w:rFonts w:ascii="Times New Roman" w:hAnsi="Times New Roman" w:cs="Times New Roman"/>
          <w:sz w:val="24"/>
          <w:szCs w:val="24"/>
        </w:rPr>
        <w:t xml:space="preserve">se brinda información en cuanto l </w:t>
      </w:r>
      <w:r w:rsidRPr="005F28DB">
        <w:rPr>
          <w:rFonts w:ascii="Times New Roman" w:hAnsi="Times New Roman" w:cs="Times New Roman"/>
          <w:sz w:val="24"/>
          <w:szCs w:val="24"/>
        </w:rPr>
        <w:t xml:space="preserve"> porcentaje de ejecución de presupuesto asignado a programas, planes e instituciones vinculados a diferentes formas de violencia en algunas  instituciones que desarrolla  programas específicos en violencia intrafamiliar o de género</w:t>
      </w:r>
      <w:r w:rsidR="003B46B8" w:rsidRPr="005F28DB">
        <w:rPr>
          <w:rFonts w:ascii="Times New Roman" w:hAnsi="Times New Roman" w:cs="Times New Roman"/>
          <w:sz w:val="24"/>
          <w:szCs w:val="24"/>
        </w:rPr>
        <w:t xml:space="preserve">,  en diversos institutos tales como </w:t>
      </w:r>
      <w:r w:rsidRPr="005F28DB">
        <w:rPr>
          <w:rFonts w:ascii="Times New Roman" w:hAnsi="Times New Roman" w:cs="Times New Roman"/>
          <w:sz w:val="24"/>
          <w:szCs w:val="24"/>
        </w:rPr>
        <w:t xml:space="preserve">el Ministerio de Seguridad, el Poder Judicial, </w:t>
      </w:r>
      <w:r w:rsidR="003B46B8" w:rsidRPr="005F28DB">
        <w:rPr>
          <w:rFonts w:ascii="Times New Roman" w:hAnsi="Times New Roman" w:cs="Times New Roman"/>
          <w:sz w:val="24"/>
          <w:szCs w:val="24"/>
        </w:rPr>
        <w:t xml:space="preserve">el </w:t>
      </w:r>
      <w:r w:rsidRPr="005F28DB">
        <w:rPr>
          <w:rFonts w:ascii="Times New Roman" w:hAnsi="Times New Roman" w:cs="Times New Roman"/>
          <w:sz w:val="24"/>
          <w:szCs w:val="24"/>
        </w:rPr>
        <w:t>Ministerio de Justicia, el Ins</w:t>
      </w:r>
      <w:r w:rsidR="003B46B8" w:rsidRPr="005F28DB">
        <w:rPr>
          <w:rFonts w:ascii="Times New Roman" w:hAnsi="Times New Roman" w:cs="Times New Roman"/>
          <w:sz w:val="24"/>
          <w:szCs w:val="24"/>
        </w:rPr>
        <w:t xml:space="preserve">tituto Nacional de Aprendizaje. El INAMU informa sobre el presupuesto </w:t>
      </w:r>
      <w:r w:rsidRPr="005F28DB">
        <w:rPr>
          <w:rFonts w:ascii="Times New Roman" w:hAnsi="Times New Roman" w:cs="Times New Roman"/>
          <w:sz w:val="24"/>
          <w:szCs w:val="24"/>
        </w:rPr>
        <w:t xml:space="preserve">para programas de violencia contra las mujeres en el 2012 </w:t>
      </w:r>
      <w:r w:rsidR="003B46B8" w:rsidRPr="005F28DB">
        <w:rPr>
          <w:rFonts w:ascii="Times New Roman" w:hAnsi="Times New Roman" w:cs="Times New Roman"/>
          <w:sz w:val="24"/>
          <w:szCs w:val="24"/>
        </w:rPr>
        <w:t>(</w:t>
      </w:r>
      <w:r w:rsidRPr="005F28DB">
        <w:rPr>
          <w:rFonts w:ascii="Times New Roman" w:hAnsi="Times New Roman" w:cs="Times New Roman"/>
          <w:sz w:val="24"/>
          <w:szCs w:val="24"/>
        </w:rPr>
        <w:t>¢284.495.906.25</w:t>
      </w:r>
      <w:r w:rsidR="003B46B8" w:rsidRPr="005F28DB">
        <w:rPr>
          <w:rFonts w:ascii="Times New Roman" w:hAnsi="Times New Roman" w:cs="Times New Roman"/>
          <w:sz w:val="24"/>
          <w:szCs w:val="24"/>
        </w:rPr>
        <w:t>)</w:t>
      </w:r>
      <w:r w:rsidRPr="005F28DB">
        <w:rPr>
          <w:rFonts w:ascii="Times New Roman" w:hAnsi="Times New Roman" w:cs="Times New Roman"/>
          <w:sz w:val="24"/>
          <w:szCs w:val="24"/>
        </w:rPr>
        <w:t>.</w:t>
      </w:r>
      <w:r w:rsidR="003B46B8" w:rsidRPr="005F28DB">
        <w:rPr>
          <w:rFonts w:ascii="Times New Roman" w:hAnsi="Times New Roman" w:cs="Times New Roman"/>
          <w:sz w:val="24"/>
          <w:szCs w:val="24"/>
        </w:rPr>
        <w:t xml:space="preserve"> </w:t>
      </w:r>
      <w:r w:rsidRPr="005F28DB">
        <w:rPr>
          <w:rFonts w:ascii="Times New Roman" w:hAnsi="Times New Roman" w:cs="Times New Roman"/>
          <w:sz w:val="24"/>
          <w:szCs w:val="24"/>
        </w:rPr>
        <w:t>El Poder Jud</w:t>
      </w:r>
      <w:r w:rsidR="003B46B8" w:rsidRPr="005F28DB">
        <w:rPr>
          <w:rFonts w:ascii="Times New Roman" w:hAnsi="Times New Roman" w:cs="Times New Roman"/>
          <w:sz w:val="24"/>
          <w:szCs w:val="24"/>
        </w:rPr>
        <w:t xml:space="preserve">icial reporta ¢31.873.439.749.  </w:t>
      </w:r>
      <w:r w:rsidRPr="005F28DB">
        <w:rPr>
          <w:rFonts w:ascii="Times New Roman" w:hAnsi="Times New Roman" w:cs="Times New Roman"/>
          <w:sz w:val="24"/>
          <w:szCs w:val="24"/>
        </w:rPr>
        <w:t>La estimación de la ejecución presupuestaria en materia género sensiti</w:t>
      </w:r>
      <w:r w:rsidR="00662E5B" w:rsidRPr="005F28DB">
        <w:rPr>
          <w:rFonts w:ascii="Times New Roman" w:hAnsi="Times New Roman" w:cs="Times New Roman"/>
          <w:sz w:val="24"/>
          <w:szCs w:val="24"/>
        </w:rPr>
        <w:t>va se incorporó en este informe</w:t>
      </w:r>
      <w:r w:rsidRPr="005F28DB">
        <w:rPr>
          <w:rFonts w:ascii="Times New Roman" w:hAnsi="Times New Roman" w:cs="Times New Roman"/>
          <w:sz w:val="24"/>
          <w:szCs w:val="24"/>
        </w:rPr>
        <w:t xml:space="preserve"> a partir del 2007, con lo cual ya se completan 5 años de estar incorporando esta variable. El Patronato Nacional de la Infancia ha ejecutado para el 2013, 30 millones de colones en campañas publicitarias y 75 millones en talleres socio-informativos en temáticas vinculadas. </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985665"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Observamos que en cuanto al contexto financiero, compromisos presupuestarios y  de creación de oficinas que facilitan el acceso a la información; a la fecha de entrega del Informe</w:t>
      </w:r>
      <w:r w:rsidR="00CB61B4" w:rsidRPr="005F28DB">
        <w:rPr>
          <w:rFonts w:ascii="Times New Roman" w:hAnsi="Times New Roman" w:cs="Times New Roman"/>
          <w:sz w:val="24"/>
          <w:szCs w:val="24"/>
        </w:rPr>
        <w:t>, no se presentan</w:t>
      </w:r>
      <w:r w:rsidRPr="005F28DB">
        <w:rPr>
          <w:rFonts w:ascii="Times New Roman" w:hAnsi="Times New Roman" w:cs="Times New Roman"/>
          <w:sz w:val="24"/>
          <w:szCs w:val="24"/>
        </w:rPr>
        <w:t xml:space="preserve">  datos actualizados tanto en lo que se refiere a garantizar una vida libre de violencia como a porcentaje del gasto público destinado para: acciones, planes, estrategias y programas de violencia, inversión en infraestructura para casos de violencia (casas de acogida, medidas preventivas, disponibilidad de medios, etc.) y capacitación de recursos humanos en violencia en los tres poderes del Estado.</w:t>
      </w:r>
    </w:p>
    <w:p w:rsidR="00832571" w:rsidRPr="005F28DB" w:rsidRDefault="00832571" w:rsidP="003D6EFF">
      <w:pPr>
        <w:pStyle w:val="ListParagraph"/>
        <w:spacing w:after="0" w:line="240" w:lineRule="auto"/>
        <w:rPr>
          <w:rFonts w:ascii="Times New Roman" w:hAnsi="Times New Roman" w:cs="Times New Roman"/>
          <w:sz w:val="24"/>
          <w:szCs w:val="24"/>
        </w:rPr>
      </w:pPr>
    </w:p>
    <w:p w:rsidR="00832571" w:rsidRPr="005F28DB" w:rsidRDefault="00662E5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A</w:t>
      </w:r>
      <w:r w:rsidR="00985665" w:rsidRPr="005F28DB">
        <w:rPr>
          <w:rFonts w:ascii="Times New Roman" w:hAnsi="Times New Roman" w:cs="Times New Roman"/>
          <w:sz w:val="24"/>
          <w:szCs w:val="24"/>
        </w:rPr>
        <w:t>lgunas instancias c</w:t>
      </w:r>
      <w:r w:rsidR="00CB61B4" w:rsidRPr="005F28DB">
        <w:rPr>
          <w:rFonts w:ascii="Times New Roman" w:hAnsi="Times New Roman" w:cs="Times New Roman"/>
          <w:sz w:val="24"/>
          <w:szCs w:val="24"/>
        </w:rPr>
        <w:t xml:space="preserve">omo </w:t>
      </w:r>
      <w:r w:rsidR="000E2997" w:rsidRPr="005F28DB">
        <w:rPr>
          <w:rFonts w:ascii="Times New Roman" w:hAnsi="Times New Roman" w:cs="Times New Roman"/>
          <w:sz w:val="24"/>
          <w:szCs w:val="24"/>
        </w:rPr>
        <w:t xml:space="preserve">el Poder Judicial y </w:t>
      </w:r>
      <w:r w:rsidR="00CB61B4" w:rsidRPr="005F28DB">
        <w:rPr>
          <w:rFonts w:ascii="Times New Roman" w:hAnsi="Times New Roman" w:cs="Times New Roman"/>
          <w:sz w:val="24"/>
          <w:szCs w:val="24"/>
        </w:rPr>
        <w:t>el Ministerio de Salud rinden</w:t>
      </w:r>
      <w:r w:rsidR="00985665" w:rsidRPr="005F28DB">
        <w:rPr>
          <w:rFonts w:ascii="Times New Roman" w:hAnsi="Times New Roman" w:cs="Times New Roman"/>
          <w:sz w:val="24"/>
          <w:szCs w:val="24"/>
        </w:rPr>
        <w:t xml:space="preserve"> informe</w:t>
      </w:r>
      <w:r w:rsidR="00CB61B4" w:rsidRPr="005F28DB">
        <w:rPr>
          <w:rFonts w:ascii="Times New Roman" w:hAnsi="Times New Roman" w:cs="Times New Roman"/>
          <w:sz w:val="24"/>
          <w:szCs w:val="24"/>
        </w:rPr>
        <w:t>s</w:t>
      </w:r>
      <w:r w:rsidR="00985665" w:rsidRPr="005F28DB">
        <w:rPr>
          <w:rFonts w:ascii="Times New Roman" w:hAnsi="Times New Roman" w:cs="Times New Roman"/>
          <w:sz w:val="24"/>
          <w:szCs w:val="24"/>
        </w:rPr>
        <w:t xml:space="preserve"> anual</w:t>
      </w:r>
      <w:r w:rsidR="00CB61B4" w:rsidRPr="005F28DB">
        <w:rPr>
          <w:rFonts w:ascii="Times New Roman" w:hAnsi="Times New Roman" w:cs="Times New Roman"/>
          <w:sz w:val="24"/>
          <w:szCs w:val="24"/>
        </w:rPr>
        <w:t>es</w:t>
      </w:r>
      <w:r w:rsidR="00985665" w:rsidRPr="005F28DB">
        <w:rPr>
          <w:rFonts w:ascii="Times New Roman" w:hAnsi="Times New Roman" w:cs="Times New Roman"/>
          <w:sz w:val="24"/>
          <w:szCs w:val="24"/>
        </w:rPr>
        <w:t xml:space="preserve"> en función de programas de violencia contra las mujeres; en tanto otras no tienen información desagregada sino que se manejan  con información general. De la aplicación del  PLANOVI- Mujer  se </w:t>
      </w:r>
      <w:r w:rsidRPr="005F28DB">
        <w:rPr>
          <w:rFonts w:ascii="Times New Roman" w:hAnsi="Times New Roman" w:cs="Times New Roman"/>
          <w:sz w:val="24"/>
          <w:szCs w:val="24"/>
        </w:rPr>
        <w:t xml:space="preserve">podría obtener </w:t>
      </w:r>
      <w:r w:rsidR="00985665" w:rsidRPr="005F28DB">
        <w:rPr>
          <w:rFonts w:ascii="Times New Roman" w:hAnsi="Times New Roman" w:cs="Times New Roman"/>
          <w:sz w:val="24"/>
          <w:szCs w:val="24"/>
        </w:rPr>
        <w:t>dicha información pero solo h</w:t>
      </w:r>
      <w:r w:rsidRPr="005F28DB">
        <w:rPr>
          <w:rFonts w:ascii="Times New Roman" w:hAnsi="Times New Roman" w:cs="Times New Roman"/>
          <w:sz w:val="24"/>
          <w:szCs w:val="24"/>
        </w:rPr>
        <w:t xml:space="preserve">asta el 2015, </w:t>
      </w:r>
      <w:r w:rsidR="00D63A9F" w:rsidRPr="005F28DB">
        <w:rPr>
          <w:rFonts w:ascii="Times New Roman" w:hAnsi="Times New Roman" w:cs="Times New Roman"/>
          <w:sz w:val="24"/>
          <w:szCs w:val="24"/>
        </w:rPr>
        <w:t>fecha en que termina</w:t>
      </w:r>
      <w:r w:rsidR="00985665" w:rsidRPr="005F28DB">
        <w:rPr>
          <w:rFonts w:ascii="Times New Roman" w:hAnsi="Times New Roman" w:cs="Times New Roman"/>
          <w:sz w:val="24"/>
          <w:szCs w:val="24"/>
        </w:rPr>
        <w:t xml:space="preserve"> el periodo fiscal con </w:t>
      </w:r>
      <w:r w:rsidRPr="005F28DB">
        <w:rPr>
          <w:rFonts w:ascii="Times New Roman" w:hAnsi="Times New Roman" w:cs="Times New Roman"/>
          <w:sz w:val="24"/>
          <w:szCs w:val="24"/>
        </w:rPr>
        <w:t xml:space="preserve">lo </w:t>
      </w:r>
      <w:r w:rsidR="00985665" w:rsidRPr="005F28DB">
        <w:rPr>
          <w:rFonts w:ascii="Times New Roman" w:hAnsi="Times New Roman" w:cs="Times New Roman"/>
          <w:sz w:val="24"/>
          <w:szCs w:val="24"/>
        </w:rPr>
        <w:t>que concluye la gestión de gobierno que rinde cuenta de este Informe.</w:t>
      </w:r>
    </w:p>
    <w:p w:rsidR="00832571" w:rsidRPr="005F28DB" w:rsidRDefault="00832571" w:rsidP="003D6EFF">
      <w:pPr>
        <w:pStyle w:val="ListParagraph"/>
        <w:spacing w:after="0" w:line="240" w:lineRule="auto"/>
        <w:rPr>
          <w:rFonts w:ascii="Times New Roman" w:hAnsi="Times New Roman" w:cs="Times New Roman"/>
          <w:sz w:val="24"/>
          <w:szCs w:val="24"/>
        </w:rPr>
      </w:pPr>
    </w:p>
    <w:p w:rsidR="00662E5B" w:rsidRPr="005F28DB" w:rsidRDefault="00832571" w:rsidP="003D6EFF">
      <w:pPr>
        <w:pStyle w:val="ListParagraph"/>
        <w:numPr>
          <w:ilvl w:val="0"/>
          <w:numId w:val="10"/>
        </w:numPr>
        <w:spacing w:after="0" w:line="240" w:lineRule="auto"/>
        <w:jc w:val="both"/>
        <w:rPr>
          <w:rFonts w:ascii="Times New Roman" w:hAnsi="Times New Roman" w:cs="Times New Roman"/>
          <w:b/>
          <w:sz w:val="24"/>
          <w:szCs w:val="24"/>
        </w:rPr>
      </w:pPr>
      <w:r w:rsidRPr="005F28DB">
        <w:rPr>
          <w:rFonts w:ascii="Times New Roman" w:hAnsi="Times New Roman" w:cs="Times New Roman"/>
          <w:sz w:val="24"/>
          <w:szCs w:val="24"/>
        </w:rPr>
        <w:t xml:space="preserve">Por otra parte, </w:t>
      </w:r>
      <w:r w:rsidR="00097128" w:rsidRPr="005F28DB">
        <w:rPr>
          <w:rFonts w:ascii="Times New Roman" w:hAnsi="Times New Roman" w:cs="Times New Roman"/>
          <w:sz w:val="24"/>
          <w:szCs w:val="24"/>
        </w:rPr>
        <w:t xml:space="preserve">en  2007 se presentó la Política Nacional para la Igualdad y Equidad de Género 2007-2017 (PIEG) que contiene los compromisos del Estado para avanzar en la igualdad de oportunidades y derechos entre hombres y mujeres. La PIEG se sustenta en tres grandes núcleos de acción estratégica: autonomía económica, </w:t>
      </w:r>
      <w:r w:rsidR="00097128" w:rsidRPr="005F28DB">
        <w:rPr>
          <w:rFonts w:ascii="Times New Roman" w:hAnsi="Times New Roman" w:cs="Times New Roman"/>
          <w:sz w:val="24"/>
          <w:szCs w:val="24"/>
        </w:rPr>
        <w:lastRenderedPageBreak/>
        <w:t>participación política y cambio cultural. En el 2008 se formuló el Plan de Acción de la política (2008-2012) que se concibe como un instrumento que orientará el quehacer de las instituciones del Estado.</w:t>
      </w:r>
    </w:p>
    <w:p w:rsidR="00662E5B" w:rsidRPr="005F28DB" w:rsidRDefault="00662E5B" w:rsidP="00662E5B">
      <w:pPr>
        <w:spacing w:after="0" w:line="240" w:lineRule="auto"/>
        <w:jc w:val="both"/>
        <w:rPr>
          <w:rFonts w:ascii="Times New Roman" w:hAnsi="Times New Roman" w:cs="Times New Roman"/>
          <w:b/>
          <w:sz w:val="24"/>
          <w:szCs w:val="24"/>
        </w:rPr>
      </w:pPr>
    </w:p>
    <w:p w:rsidR="005D1472" w:rsidRPr="005F28DB" w:rsidRDefault="005D1472" w:rsidP="00662E5B">
      <w:pPr>
        <w:spacing w:after="0" w:line="240" w:lineRule="auto"/>
        <w:jc w:val="both"/>
        <w:rPr>
          <w:rFonts w:ascii="Times New Roman" w:hAnsi="Times New Roman" w:cs="Times New Roman"/>
          <w:b/>
          <w:sz w:val="24"/>
          <w:szCs w:val="24"/>
        </w:rPr>
      </w:pPr>
      <w:r w:rsidRPr="005F28DB">
        <w:rPr>
          <w:rFonts w:ascii="Times New Roman" w:hAnsi="Times New Roman" w:cs="Times New Roman"/>
          <w:b/>
          <w:sz w:val="24"/>
          <w:szCs w:val="24"/>
        </w:rPr>
        <w:t>Progreso en cuanto a capacidades estatales, contexto financiero básico, compromisos presupuestarios, información estadística.</w:t>
      </w:r>
    </w:p>
    <w:p w:rsidR="00662E5B" w:rsidRPr="005F28DB" w:rsidRDefault="00662E5B" w:rsidP="00662E5B">
      <w:pPr>
        <w:spacing w:after="0" w:line="240" w:lineRule="auto"/>
        <w:jc w:val="both"/>
        <w:rPr>
          <w:rFonts w:ascii="Times New Roman" w:hAnsi="Times New Roman" w:cs="Times New Roman"/>
          <w:b/>
          <w:sz w:val="24"/>
          <w:szCs w:val="24"/>
        </w:rPr>
      </w:pPr>
    </w:p>
    <w:p w:rsidR="00832571" w:rsidRPr="005F28DB" w:rsidRDefault="00D63A9F"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w:t>
      </w:r>
      <w:r w:rsidR="00D65BED" w:rsidRPr="005F28DB">
        <w:rPr>
          <w:rFonts w:ascii="Times New Roman" w:hAnsi="Times New Roman" w:cs="Times New Roman"/>
          <w:sz w:val="24"/>
          <w:szCs w:val="24"/>
        </w:rPr>
        <w:t>n ge</w:t>
      </w:r>
      <w:r w:rsidRPr="005F28DB">
        <w:rPr>
          <w:rFonts w:ascii="Times New Roman" w:hAnsi="Times New Roman" w:cs="Times New Roman"/>
          <w:sz w:val="24"/>
          <w:szCs w:val="24"/>
        </w:rPr>
        <w:t>neral</w:t>
      </w:r>
      <w:r w:rsidR="00881D2D" w:rsidRPr="005F28DB">
        <w:rPr>
          <w:rFonts w:ascii="Times New Roman" w:hAnsi="Times New Roman" w:cs="Times New Roman"/>
          <w:sz w:val="24"/>
          <w:szCs w:val="24"/>
        </w:rPr>
        <w:t>,</w:t>
      </w:r>
      <w:r w:rsidRPr="005F28DB">
        <w:rPr>
          <w:rFonts w:ascii="Times New Roman" w:hAnsi="Times New Roman" w:cs="Times New Roman"/>
          <w:sz w:val="24"/>
          <w:szCs w:val="24"/>
        </w:rPr>
        <w:t xml:space="preserve"> </w:t>
      </w:r>
      <w:r w:rsidR="00881D2D" w:rsidRPr="005F28DB">
        <w:rPr>
          <w:rFonts w:ascii="Times New Roman" w:hAnsi="Times New Roman" w:cs="Times New Roman"/>
          <w:sz w:val="24"/>
          <w:szCs w:val="24"/>
        </w:rPr>
        <w:t xml:space="preserve">en cuanto </w:t>
      </w:r>
      <w:r w:rsidRPr="005F28DB">
        <w:rPr>
          <w:rFonts w:ascii="Times New Roman" w:hAnsi="Times New Roman" w:cs="Times New Roman"/>
          <w:sz w:val="24"/>
          <w:szCs w:val="24"/>
        </w:rPr>
        <w:t>a los temas  mencionados,</w:t>
      </w:r>
      <w:r w:rsidR="00D65BED" w:rsidRPr="005F28DB">
        <w:rPr>
          <w:rFonts w:ascii="Times New Roman" w:hAnsi="Times New Roman" w:cs="Times New Roman"/>
          <w:sz w:val="24"/>
          <w:szCs w:val="24"/>
        </w:rPr>
        <w:t xml:space="preserve"> no se cuenta con esta información</w:t>
      </w:r>
      <w:r w:rsidRPr="005F28DB">
        <w:rPr>
          <w:rFonts w:ascii="Times New Roman" w:hAnsi="Times New Roman" w:cs="Times New Roman"/>
          <w:sz w:val="24"/>
          <w:szCs w:val="24"/>
        </w:rPr>
        <w:t xml:space="preserve">  </w:t>
      </w:r>
      <w:r w:rsidR="00D65BED" w:rsidRPr="005F28DB">
        <w:rPr>
          <w:rFonts w:ascii="Times New Roman" w:hAnsi="Times New Roman" w:cs="Times New Roman"/>
          <w:sz w:val="24"/>
          <w:szCs w:val="24"/>
        </w:rPr>
        <w:t xml:space="preserve"> en forma específica </w:t>
      </w:r>
      <w:r w:rsidR="00881D2D" w:rsidRPr="005F28DB">
        <w:rPr>
          <w:rFonts w:ascii="Times New Roman" w:hAnsi="Times New Roman" w:cs="Times New Roman"/>
          <w:sz w:val="24"/>
          <w:szCs w:val="24"/>
        </w:rPr>
        <w:t xml:space="preserve">dentro del periodo </w:t>
      </w:r>
      <w:r w:rsidRPr="005F28DB">
        <w:rPr>
          <w:rFonts w:ascii="Times New Roman" w:hAnsi="Times New Roman" w:cs="Times New Roman"/>
          <w:sz w:val="24"/>
          <w:szCs w:val="24"/>
        </w:rPr>
        <w:t>objeto de revisión</w:t>
      </w:r>
      <w:r w:rsidR="00832571" w:rsidRPr="005F28DB">
        <w:rPr>
          <w:rFonts w:ascii="Times New Roman" w:hAnsi="Times New Roman" w:cs="Times New Roman"/>
          <w:sz w:val="24"/>
          <w:szCs w:val="24"/>
        </w:rPr>
        <w:t>,</w:t>
      </w:r>
      <w:r w:rsidRPr="005F28DB">
        <w:rPr>
          <w:rFonts w:ascii="Times New Roman" w:hAnsi="Times New Roman" w:cs="Times New Roman"/>
          <w:sz w:val="24"/>
          <w:szCs w:val="24"/>
        </w:rPr>
        <w:t xml:space="preserve"> </w:t>
      </w:r>
      <w:r w:rsidR="00D65BED" w:rsidRPr="005F28DB">
        <w:rPr>
          <w:rFonts w:ascii="Times New Roman" w:hAnsi="Times New Roman" w:cs="Times New Roman"/>
          <w:sz w:val="24"/>
          <w:szCs w:val="24"/>
        </w:rPr>
        <w:t>pues</w:t>
      </w:r>
      <w:r w:rsidR="00C47DF7" w:rsidRPr="005F28DB">
        <w:rPr>
          <w:rFonts w:ascii="Times New Roman" w:hAnsi="Times New Roman" w:cs="Times New Roman"/>
          <w:sz w:val="24"/>
          <w:szCs w:val="24"/>
        </w:rPr>
        <w:t>to</w:t>
      </w:r>
      <w:r w:rsidR="00832571" w:rsidRPr="005F28DB">
        <w:rPr>
          <w:rFonts w:ascii="Times New Roman" w:hAnsi="Times New Roman" w:cs="Times New Roman"/>
          <w:sz w:val="24"/>
          <w:szCs w:val="24"/>
        </w:rPr>
        <w:t xml:space="preserve"> </w:t>
      </w:r>
      <w:r w:rsidR="00D65BED" w:rsidRPr="005F28DB">
        <w:rPr>
          <w:rFonts w:ascii="Times New Roman" w:hAnsi="Times New Roman" w:cs="Times New Roman"/>
          <w:sz w:val="24"/>
          <w:szCs w:val="24"/>
        </w:rPr>
        <w:t xml:space="preserve">que las actividades vinculadas a la prevención y atención de la violencia contra </w:t>
      </w:r>
      <w:r w:rsidR="009E6483" w:rsidRPr="005F28DB">
        <w:rPr>
          <w:rFonts w:ascii="Times New Roman" w:hAnsi="Times New Roman" w:cs="Times New Roman"/>
          <w:sz w:val="24"/>
          <w:szCs w:val="24"/>
        </w:rPr>
        <w:t>las</w:t>
      </w:r>
      <w:r w:rsidRPr="005F28DB">
        <w:rPr>
          <w:rFonts w:ascii="Times New Roman" w:hAnsi="Times New Roman" w:cs="Times New Roman"/>
          <w:sz w:val="24"/>
          <w:szCs w:val="24"/>
        </w:rPr>
        <w:t xml:space="preserve"> mujeres se ejecutan</w:t>
      </w:r>
      <w:r w:rsidR="00D65BED" w:rsidRPr="005F28DB">
        <w:rPr>
          <w:rFonts w:ascii="Times New Roman" w:hAnsi="Times New Roman" w:cs="Times New Roman"/>
          <w:sz w:val="24"/>
          <w:szCs w:val="24"/>
        </w:rPr>
        <w:t xml:space="preserve"> con fondos ordinarios de las instituciones.    </w:t>
      </w:r>
    </w:p>
    <w:p w:rsidR="00832571" w:rsidRPr="005F28DB" w:rsidRDefault="00832571" w:rsidP="003D6EFF">
      <w:pPr>
        <w:pStyle w:val="ListParagraph"/>
        <w:spacing w:after="0" w:line="240" w:lineRule="auto"/>
        <w:jc w:val="both"/>
        <w:rPr>
          <w:rFonts w:ascii="Times New Roman" w:hAnsi="Times New Roman" w:cs="Times New Roman"/>
          <w:sz w:val="24"/>
          <w:szCs w:val="24"/>
        </w:rPr>
      </w:pPr>
    </w:p>
    <w:p w:rsidR="00832571" w:rsidRPr="005F28DB" w:rsidRDefault="00C47DF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w:t>
      </w:r>
      <w:r w:rsidR="00662E5B" w:rsidRPr="005F28DB">
        <w:rPr>
          <w:rFonts w:ascii="Times New Roman" w:hAnsi="Times New Roman" w:cs="Times New Roman"/>
          <w:sz w:val="24"/>
          <w:szCs w:val="24"/>
        </w:rPr>
        <w:t xml:space="preserve">Estado </w:t>
      </w:r>
      <w:r w:rsidRPr="005F28DB">
        <w:rPr>
          <w:rFonts w:ascii="Times New Roman" w:hAnsi="Times New Roman" w:cs="Times New Roman"/>
          <w:sz w:val="24"/>
          <w:szCs w:val="24"/>
        </w:rPr>
        <w:t xml:space="preserve">no informa si las campañas han estado orientadas a la prevención y comunicación educativa para  la transformación de los estereotipos de género, o si han incorporado variables de edad, opción sexual, etnicidad. Tampoco muestra si ha logrado sumar a los medios de comunicación </w:t>
      </w:r>
      <w:r w:rsidR="003E3815" w:rsidRPr="005F28DB">
        <w:rPr>
          <w:rFonts w:ascii="Times New Roman" w:hAnsi="Times New Roman" w:cs="Times New Roman"/>
          <w:sz w:val="24"/>
          <w:szCs w:val="24"/>
        </w:rPr>
        <w:t>masiva</w:t>
      </w:r>
      <w:r w:rsidRPr="005F28DB">
        <w:rPr>
          <w:rFonts w:ascii="Times New Roman" w:hAnsi="Times New Roman" w:cs="Times New Roman"/>
          <w:sz w:val="24"/>
          <w:szCs w:val="24"/>
        </w:rPr>
        <w:t xml:space="preserve">. </w:t>
      </w:r>
      <w:r w:rsidR="00881D2D" w:rsidRPr="005F28DB">
        <w:rPr>
          <w:rFonts w:ascii="Times New Roman" w:hAnsi="Times New Roman" w:cs="Times New Roman"/>
          <w:sz w:val="24"/>
          <w:szCs w:val="24"/>
        </w:rPr>
        <w:t xml:space="preserve">Es conveniente  </w:t>
      </w:r>
      <w:r w:rsidR="004F2BE7" w:rsidRPr="005F28DB">
        <w:rPr>
          <w:rFonts w:ascii="Times New Roman" w:hAnsi="Times New Roman" w:cs="Times New Roman"/>
          <w:sz w:val="24"/>
          <w:szCs w:val="24"/>
        </w:rPr>
        <w:t>efectuar acciones conducentes, a</w:t>
      </w:r>
      <w:r w:rsidRPr="005F28DB">
        <w:rPr>
          <w:rFonts w:ascii="Times New Roman" w:hAnsi="Times New Roman" w:cs="Times New Roman"/>
          <w:sz w:val="24"/>
          <w:szCs w:val="24"/>
        </w:rPr>
        <w:t xml:space="preserve"> generar y difundir  datos que permitan  medir el efecto de las campañas que frenan de los estereotipos </w:t>
      </w:r>
      <w:r w:rsidR="003D17AF" w:rsidRPr="005F28DB">
        <w:rPr>
          <w:rFonts w:ascii="Times New Roman" w:hAnsi="Times New Roman" w:cs="Times New Roman"/>
          <w:sz w:val="24"/>
          <w:szCs w:val="24"/>
        </w:rPr>
        <w:t>socio cultural</w:t>
      </w:r>
      <w:r w:rsidRPr="005F28DB">
        <w:rPr>
          <w:rFonts w:ascii="Times New Roman" w:hAnsi="Times New Roman" w:cs="Times New Roman"/>
          <w:sz w:val="24"/>
          <w:szCs w:val="24"/>
        </w:rPr>
        <w:t xml:space="preserve"> de avances de los derechos de la mujer</w:t>
      </w:r>
      <w:r w:rsidR="00266B83" w:rsidRPr="005F28DB">
        <w:rPr>
          <w:rFonts w:ascii="Times New Roman" w:hAnsi="Times New Roman" w:cs="Times New Roman"/>
          <w:sz w:val="24"/>
          <w:szCs w:val="24"/>
        </w:rPr>
        <w:t xml:space="preserve"> como también la mora en articular procesos formativos específicos sobre la Convención Belém Do Pará.</w:t>
      </w:r>
    </w:p>
    <w:p w:rsidR="00832571" w:rsidRPr="005F28DB" w:rsidRDefault="00832571" w:rsidP="003D6EFF">
      <w:pPr>
        <w:pStyle w:val="ListParagraph"/>
        <w:spacing w:after="0" w:line="240" w:lineRule="auto"/>
        <w:rPr>
          <w:rFonts w:ascii="Times New Roman" w:hAnsi="Times New Roman" w:cs="Times New Roman"/>
          <w:sz w:val="24"/>
          <w:szCs w:val="24"/>
        </w:rPr>
      </w:pPr>
    </w:p>
    <w:p w:rsidR="00881D2D" w:rsidRPr="005F28DB" w:rsidRDefault="00B554E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Al re</w:t>
      </w:r>
      <w:r w:rsidR="00662E5B" w:rsidRPr="005F28DB">
        <w:rPr>
          <w:rFonts w:ascii="Times New Roman" w:hAnsi="Times New Roman" w:cs="Times New Roman"/>
          <w:sz w:val="24"/>
          <w:szCs w:val="24"/>
        </w:rPr>
        <w:t xml:space="preserve">visar en los informes de País </w:t>
      </w:r>
      <w:r w:rsidRPr="005F28DB">
        <w:rPr>
          <w:rFonts w:ascii="Times New Roman" w:hAnsi="Times New Roman" w:cs="Times New Roman"/>
          <w:sz w:val="24"/>
          <w:szCs w:val="24"/>
        </w:rPr>
        <w:t xml:space="preserve">y </w:t>
      </w:r>
      <w:r w:rsidR="00662E5B" w:rsidRPr="005F28DB">
        <w:rPr>
          <w:rFonts w:ascii="Times New Roman" w:hAnsi="Times New Roman" w:cs="Times New Roman"/>
          <w:sz w:val="24"/>
          <w:szCs w:val="24"/>
        </w:rPr>
        <w:t>el Sistema de Indicadores</w:t>
      </w:r>
      <w:r w:rsidRPr="005F28DB">
        <w:rPr>
          <w:rFonts w:ascii="Times New Roman" w:hAnsi="Times New Roman" w:cs="Times New Roman"/>
          <w:sz w:val="24"/>
          <w:szCs w:val="24"/>
        </w:rPr>
        <w:t>; tanto  la barra informativa sobre planes y programas en este caso, Plan Nacional para la Atención de la Violencia Intrafamiliar (PLANOVI), como la Política Nacional para la Igualdad y E</w:t>
      </w:r>
      <w:r w:rsidR="004F2BE7" w:rsidRPr="005F28DB">
        <w:rPr>
          <w:rFonts w:ascii="Times New Roman" w:hAnsi="Times New Roman" w:cs="Times New Roman"/>
          <w:sz w:val="24"/>
          <w:szCs w:val="24"/>
        </w:rPr>
        <w:t xml:space="preserve">quidad de Género (PIEG) presentan </w:t>
      </w:r>
      <w:r w:rsidRPr="005F28DB">
        <w:rPr>
          <w:rFonts w:ascii="Times New Roman" w:hAnsi="Times New Roman" w:cs="Times New Roman"/>
          <w:sz w:val="24"/>
          <w:szCs w:val="24"/>
        </w:rPr>
        <w:t xml:space="preserve"> un avance importante en cuanto </w:t>
      </w:r>
      <w:r w:rsidR="00662E5B" w:rsidRPr="005F28DB">
        <w:rPr>
          <w:rFonts w:ascii="Times New Roman" w:hAnsi="Times New Roman" w:cs="Times New Roman"/>
          <w:sz w:val="24"/>
          <w:szCs w:val="24"/>
        </w:rPr>
        <w:t xml:space="preserve">a los </w:t>
      </w:r>
      <w:r w:rsidRPr="005F28DB">
        <w:rPr>
          <w:rFonts w:ascii="Times New Roman" w:hAnsi="Times New Roman" w:cs="Times New Roman"/>
          <w:sz w:val="24"/>
          <w:szCs w:val="24"/>
        </w:rPr>
        <w:t>com</w:t>
      </w:r>
      <w:r w:rsidR="00662E5B" w:rsidRPr="005F28DB">
        <w:rPr>
          <w:rFonts w:ascii="Times New Roman" w:hAnsi="Times New Roman" w:cs="Times New Roman"/>
          <w:sz w:val="24"/>
          <w:szCs w:val="24"/>
        </w:rPr>
        <w:t xml:space="preserve">promiso del Estado de realizar  </w:t>
      </w:r>
      <w:r w:rsidRPr="005F28DB">
        <w:rPr>
          <w:rFonts w:ascii="Times New Roman" w:hAnsi="Times New Roman" w:cs="Times New Roman"/>
          <w:sz w:val="24"/>
          <w:szCs w:val="24"/>
        </w:rPr>
        <w:t>acciones articula</w:t>
      </w:r>
      <w:r w:rsidR="00662E5B" w:rsidRPr="005F28DB">
        <w:rPr>
          <w:rFonts w:ascii="Times New Roman" w:hAnsi="Times New Roman" w:cs="Times New Roman"/>
          <w:sz w:val="24"/>
          <w:szCs w:val="24"/>
        </w:rPr>
        <w:t xml:space="preserve">das inter-institucionales y a </w:t>
      </w:r>
      <w:r w:rsidRPr="005F28DB">
        <w:rPr>
          <w:rFonts w:ascii="Times New Roman" w:hAnsi="Times New Roman" w:cs="Times New Roman"/>
          <w:sz w:val="24"/>
          <w:szCs w:val="24"/>
        </w:rPr>
        <w:t>incor</w:t>
      </w:r>
      <w:r w:rsidR="00662E5B" w:rsidRPr="005F28DB">
        <w:rPr>
          <w:rFonts w:ascii="Times New Roman" w:hAnsi="Times New Roman" w:cs="Times New Roman"/>
          <w:sz w:val="24"/>
          <w:szCs w:val="24"/>
        </w:rPr>
        <w:t xml:space="preserve">porar a </w:t>
      </w:r>
      <w:r w:rsidR="004F2BE7" w:rsidRPr="005F28DB">
        <w:rPr>
          <w:rFonts w:ascii="Times New Roman" w:hAnsi="Times New Roman" w:cs="Times New Roman"/>
          <w:sz w:val="24"/>
          <w:szCs w:val="24"/>
        </w:rPr>
        <w:t>la sociedad civil. Se</w:t>
      </w:r>
      <w:r w:rsidRPr="005F28DB">
        <w:rPr>
          <w:rFonts w:ascii="Times New Roman" w:hAnsi="Times New Roman" w:cs="Times New Roman"/>
          <w:sz w:val="24"/>
          <w:szCs w:val="24"/>
        </w:rPr>
        <w:t xml:space="preserve"> </w:t>
      </w:r>
      <w:r w:rsidR="003E3815" w:rsidRPr="005F28DB">
        <w:rPr>
          <w:rFonts w:ascii="Times New Roman" w:hAnsi="Times New Roman" w:cs="Times New Roman"/>
          <w:sz w:val="24"/>
          <w:szCs w:val="24"/>
        </w:rPr>
        <w:t xml:space="preserve">han </w:t>
      </w:r>
      <w:r w:rsidRPr="005F28DB">
        <w:rPr>
          <w:rFonts w:ascii="Times New Roman" w:hAnsi="Times New Roman" w:cs="Times New Roman"/>
          <w:sz w:val="24"/>
          <w:szCs w:val="24"/>
        </w:rPr>
        <w:t>realizado las evaluaciones y divulgación del Planes; lo cual se ajusta a la Recomendación No.5 de la Declaración de Pachuca</w:t>
      </w:r>
      <w:r w:rsidR="00881D2D" w:rsidRPr="005F28DB">
        <w:rPr>
          <w:rFonts w:ascii="Times New Roman" w:hAnsi="Times New Roman" w:cs="Times New Roman"/>
          <w:sz w:val="24"/>
          <w:szCs w:val="24"/>
        </w:rPr>
        <w:t xml:space="preserve"> que convoca a los Estados a: “</w:t>
      </w:r>
      <w:r w:rsidRPr="005F28DB">
        <w:rPr>
          <w:rFonts w:ascii="Times New Roman" w:hAnsi="Times New Roman" w:cs="Times New Roman"/>
          <w:sz w:val="24"/>
          <w:szCs w:val="24"/>
        </w:rPr>
        <w:t xml:space="preserve">Incluir en las políticas públicas de prevención, atención y sanción de la violencia un componente participativo de evaluación de impacto para poder identificar buenas prácticas y lecciones aprendidas”. </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097128"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Informe </w:t>
      </w:r>
      <w:r w:rsidR="00662E5B" w:rsidRPr="005F28DB">
        <w:rPr>
          <w:rFonts w:ascii="Times New Roman" w:hAnsi="Times New Roman" w:cs="Times New Roman"/>
          <w:sz w:val="24"/>
          <w:szCs w:val="24"/>
        </w:rPr>
        <w:t xml:space="preserve">contenido en el Sistema de Indicadores refleja </w:t>
      </w:r>
      <w:r w:rsidRPr="005F28DB">
        <w:rPr>
          <w:rFonts w:ascii="Times New Roman" w:hAnsi="Times New Roman" w:cs="Times New Roman"/>
          <w:sz w:val="24"/>
          <w:szCs w:val="24"/>
        </w:rPr>
        <w:t>que en cuanto al monitoreo y evaluación del impacto de las políticas, planes nacionales, acciones, estrategias, tanto a nivel nacional, provincial, estadual o local en sus diversos componentes; no se cuenta con mecanismos de evaluación de impacto.</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662E5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De igual forma, no </w:t>
      </w:r>
      <w:r w:rsidR="004F2BE7" w:rsidRPr="005F28DB">
        <w:rPr>
          <w:rFonts w:ascii="Times New Roman" w:hAnsi="Times New Roman" w:cs="Times New Roman"/>
          <w:sz w:val="24"/>
          <w:szCs w:val="24"/>
        </w:rPr>
        <w:t xml:space="preserve">se muestra </w:t>
      </w:r>
      <w:r w:rsidR="006C3D39" w:rsidRPr="005F28DB">
        <w:rPr>
          <w:rFonts w:ascii="Times New Roman" w:hAnsi="Times New Roman" w:cs="Times New Roman"/>
          <w:sz w:val="24"/>
          <w:szCs w:val="24"/>
        </w:rPr>
        <w:t>información en la mayoría de las instituciones del Sis</w:t>
      </w:r>
      <w:r w:rsidRPr="005F28DB">
        <w:rPr>
          <w:rFonts w:ascii="Times New Roman" w:hAnsi="Times New Roman" w:cs="Times New Roman"/>
          <w:sz w:val="24"/>
          <w:szCs w:val="24"/>
        </w:rPr>
        <w:t xml:space="preserve">tema Nacional para </w:t>
      </w:r>
      <w:r w:rsidR="004F2BE7" w:rsidRPr="005F28DB">
        <w:rPr>
          <w:rFonts w:ascii="Times New Roman" w:hAnsi="Times New Roman" w:cs="Times New Roman"/>
          <w:sz w:val="24"/>
          <w:szCs w:val="24"/>
        </w:rPr>
        <w:t>proporcionar detalles</w:t>
      </w:r>
      <w:r w:rsidR="006C3D39" w:rsidRPr="005F28DB">
        <w:rPr>
          <w:rFonts w:ascii="Times New Roman" w:hAnsi="Times New Roman" w:cs="Times New Roman"/>
          <w:sz w:val="24"/>
          <w:szCs w:val="24"/>
        </w:rPr>
        <w:t xml:space="preserve"> de las características, cobertura y periodicidad de campañas de difusión del derecho a una vida libre de violencia.</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2E7A2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No se cuenta con información sobre el promedio de la inversión de recursos financieros que implica cada una de las fases del proceso penal según la institución </w:t>
      </w:r>
      <w:r w:rsidRPr="005F28DB">
        <w:rPr>
          <w:rFonts w:ascii="Times New Roman" w:hAnsi="Times New Roman" w:cs="Times New Roman"/>
          <w:sz w:val="24"/>
          <w:szCs w:val="24"/>
        </w:rPr>
        <w:lastRenderedPageBreak/>
        <w:t xml:space="preserve">involucrada en </w:t>
      </w:r>
      <w:r w:rsidR="00662E5B" w:rsidRPr="005F28DB">
        <w:rPr>
          <w:rFonts w:ascii="Times New Roman" w:hAnsi="Times New Roman" w:cs="Times New Roman"/>
          <w:sz w:val="24"/>
          <w:szCs w:val="24"/>
        </w:rPr>
        <w:t>el tema de justicia. L</w:t>
      </w:r>
      <w:r w:rsidRPr="005F28DB">
        <w:rPr>
          <w:rFonts w:ascii="Times New Roman" w:hAnsi="Times New Roman" w:cs="Times New Roman"/>
          <w:sz w:val="24"/>
          <w:szCs w:val="24"/>
        </w:rPr>
        <w:t>a presentación es a nivel de oficina, circuito y programa y no incluye procesos.</w:t>
      </w:r>
    </w:p>
    <w:p w:rsidR="00881D2D" w:rsidRPr="005F28DB" w:rsidRDefault="00881D2D" w:rsidP="003D6EFF">
      <w:pPr>
        <w:pStyle w:val="ListParagraph"/>
        <w:spacing w:after="0" w:line="240" w:lineRule="auto"/>
        <w:rPr>
          <w:rFonts w:ascii="Times New Roman" w:hAnsi="Times New Roman" w:cs="Times New Roman"/>
          <w:sz w:val="24"/>
          <w:szCs w:val="24"/>
        </w:rPr>
      </w:pPr>
    </w:p>
    <w:p w:rsidR="006C3D39" w:rsidRPr="005F28DB" w:rsidRDefault="004F2BE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general no se  presenta</w:t>
      </w:r>
      <w:r w:rsidR="002E7A27" w:rsidRPr="005F28DB">
        <w:rPr>
          <w:rFonts w:ascii="Times New Roman" w:hAnsi="Times New Roman" w:cs="Times New Roman"/>
          <w:sz w:val="24"/>
          <w:szCs w:val="24"/>
        </w:rPr>
        <w:t xml:space="preserve"> con información sobre la inversión por ítems de </w:t>
      </w:r>
      <w:r w:rsidR="00662E5B" w:rsidRPr="005F28DB">
        <w:rPr>
          <w:rFonts w:ascii="Times New Roman" w:hAnsi="Times New Roman" w:cs="Times New Roman"/>
          <w:sz w:val="24"/>
          <w:szCs w:val="24"/>
        </w:rPr>
        <w:t xml:space="preserve">los indicadores </w:t>
      </w:r>
      <w:r w:rsidR="002E7A27" w:rsidRPr="005F28DB">
        <w:rPr>
          <w:rFonts w:ascii="Times New Roman" w:hAnsi="Times New Roman" w:cs="Times New Roman"/>
          <w:sz w:val="24"/>
          <w:szCs w:val="24"/>
        </w:rPr>
        <w:t>de progreso.</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0E2997" w:rsidRPr="005F28DB" w:rsidRDefault="000E2997" w:rsidP="003D6EFF">
      <w:pPr>
        <w:pStyle w:val="ListParagraph"/>
        <w:numPr>
          <w:ilvl w:val="0"/>
          <w:numId w:val="12"/>
        </w:numPr>
        <w:spacing w:after="0" w:line="240" w:lineRule="auto"/>
        <w:jc w:val="both"/>
        <w:rPr>
          <w:rFonts w:ascii="Times New Roman" w:hAnsi="Times New Roman" w:cs="Times New Roman"/>
          <w:b/>
          <w:bCs/>
          <w:color w:val="000000"/>
          <w:sz w:val="24"/>
          <w:szCs w:val="24"/>
        </w:rPr>
      </w:pPr>
      <w:r w:rsidRPr="005F28DB">
        <w:rPr>
          <w:rFonts w:ascii="Times New Roman" w:hAnsi="Times New Roman" w:cs="Times New Roman"/>
          <w:b/>
          <w:sz w:val="24"/>
          <w:szCs w:val="24"/>
        </w:rPr>
        <w:t>ACCESO A LA JUSTICIA</w:t>
      </w:r>
      <w:r w:rsidRPr="005F28DB">
        <w:rPr>
          <w:rFonts w:ascii="Times New Roman" w:hAnsi="Times New Roman" w:cs="Times New Roman"/>
          <w:b/>
          <w:bCs/>
          <w:color w:val="000000"/>
          <w:sz w:val="24"/>
          <w:szCs w:val="24"/>
        </w:rPr>
        <w:t>-  Artículos 7 incisos d) y f), y 8 incisos c) y d) de la Convención de Belém do Pará</w:t>
      </w:r>
    </w:p>
    <w:p w:rsidR="000E2997" w:rsidRPr="005F28DB" w:rsidRDefault="000E2997" w:rsidP="003D6EFF">
      <w:pPr>
        <w:pStyle w:val="ListParagraph"/>
        <w:spacing w:after="0" w:line="240" w:lineRule="auto"/>
        <w:jc w:val="both"/>
        <w:rPr>
          <w:rFonts w:ascii="Times New Roman" w:hAnsi="Times New Roman" w:cs="Times New Roman"/>
          <w:sz w:val="24"/>
          <w:szCs w:val="24"/>
        </w:rPr>
      </w:pPr>
    </w:p>
    <w:p w:rsidR="00881D2D" w:rsidRPr="005F28DB" w:rsidRDefault="00266B83"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Se </w:t>
      </w:r>
      <w:r w:rsidR="00D9535B" w:rsidRPr="005F28DB">
        <w:rPr>
          <w:rFonts w:ascii="Times New Roman" w:hAnsi="Times New Roman" w:cs="Times New Roman"/>
          <w:sz w:val="24"/>
          <w:szCs w:val="24"/>
        </w:rPr>
        <w:t xml:space="preserve">ha </w:t>
      </w:r>
      <w:r w:rsidRPr="005F28DB">
        <w:rPr>
          <w:rFonts w:ascii="Times New Roman" w:hAnsi="Times New Roman" w:cs="Times New Roman"/>
          <w:sz w:val="24"/>
          <w:szCs w:val="24"/>
        </w:rPr>
        <w:t>avanzado en la  creación de unidades especializadas en</w:t>
      </w:r>
      <w:r w:rsidR="00662E5B" w:rsidRPr="005F28DB">
        <w:rPr>
          <w:rFonts w:ascii="Times New Roman" w:hAnsi="Times New Roman" w:cs="Times New Roman"/>
          <w:sz w:val="24"/>
          <w:szCs w:val="24"/>
        </w:rPr>
        <w:t xml:space="preserve"> la recepción de las denuncias </w:t>
      </w:r>
      <w:r w:rsidRPr="005F28DB">
        <w:rPr>
          <w:rFonts w:ascii="Times New Roman" w:hAnsi="Times New Roman" w:cs="Times New Roman"/>
          <w:sz w:val="24"/>
          <w:szCs w:val="24"/>
        </w:rPr>
        <w:t xml:space="preserve">en las </w:t>
      </w:r>
      <w:r w:rsidR="00662E5B" w:rsidRPr="005F28DB">
        <w:rPr>
          <w:rFonts w:ascii="Times New Roman" w:hAnsi="Times New Roman" w:cs="Times New Roman"/>
          <w:sz w:val="24"/>
          <w:szCs w:val="24"/>
        </w:rPr>
        <w:t xml:space="preserve">siete </w:t>
      </w:r>
      <w:r w:rsidRPr="005F28DB">
        <w:rPr>
          <w:rFonts w:ascii="Times New Roman" w:hAnsi="Times New Roman" w:cs="Times New Roman"/>
          <w:sz w:val="24"/>
          <w:szCs w:val="24"/>
        </w:rPr>
        <w:t>provincias del país</w:t>
      </w:r>
      <w:r w:rsidR="00E945A5" w:rsidRPr="005F28DB">
        <w:rPr>
          <w:rFonts w:ascii="Times New Roman" w:hAnsi="Times New Roman" w:cs="Times New Roman"/>
          <w:sz w:val="24"/>
          <w:szCs w:val="24"/>
        </w:rPr>
        <w:t>,</w:t>
      </w:r>
      <w:r w:rsidRPr="005F28DB">
        <w:rPr>
          <w:rFonts w:ascii="Times New Roman" w:hAnsi="Times New Roman" w:cs="Times New Roman"/>
          <w:sz w:val="24"/>
          <w:szCs w:val="24"/>
        </w:rPr>
        <w:t xml:space="preserve"> </w:t>
      </w:r>
      <w:r w:rsidR="00E945A5" w:rsidRPr="005F28DB">
        <w:rPr>
          <w:rFonts w:ascii="Times New Roman" w:hAnsi="Times New Roman" w:cs="Times New Roman"/>
          <w:sz w:val="24"/>
          <w:szCs w:val="24"/>
        </w:rPr>
        <w:t>completándolos con</w:t>
      </w:r>
      <w:r w:rsidRPr="005F28DB">
        <w:rPr>
          <w:rFonts w:ascii="Times New Roman" w:hAnsi="Times New Roman" w:cs="Times New Roman"/>
          <w:sz w:val="24"/>
          <w:szCs w:val="24"/>
        </w:rPr>
        <w:t xml:space="preserve"> equipos interdisciplinarios de atención en los juzgados especializados de violencia doméstica que aún no</w:t>
      </w:r>
      <w:r w:rsidR="00E945A5" w:rsidRPr="005F28DB">
        <w:rPr>
          <w:rFonts w:ascii="Times New Roman" w:hAnsi="Times New Roman" w:cs="Times New Roman"/>
          <w:sz w:val="24"/>
          <w:szCs w:val="24"/>
        </w:rPr>
        <w:t xml:space="preserve"> </w:t>
      </w:r>
      <w:r w:rsidRPr="005F28DB">
        <w:rPr>
          <w:rFonts w:ascii="Times New Roman" w:hAnsi="Times New Roman" w:cs="Times New Roman"/>
          <w:sz w:val="24"/>
          <w:szCs w:val="24"/>
        </w:rPr>
        <w:t>los tenían</w:t>
      </w:r>
      <w:r w:rsidR="00E945A5" w:rsidRPr="005F28DB">
        <w:rPr>
          <w:rFonts w:ascii="Times New Roman" w:hAnsi="Times New Roman" w:cs="Times New Roman"/>
          <w:sz w:val="24"/>
          <w:szCs w:val="24"/>
        </w:rPr>
        <w:t>;</w:t>
      </w:r>
      <w:r w:rsidRPr="005F28DB">
        <w:rPr>
          <w:rFonts w:ascii="Times New Roman" w:hAnsi="Times New Roman" w:cs="Times New Roman"/>
          <w:sz w:val="24"/>
          <w:szCs w:val="24"/>
        </w:rPr>
        <w:t xml:space="preserve"> esto a raíz de la entrada en vigor de Ley de Penalización de la Violencia contra las Mujeres</w:t>
      </w:r>
      <w:r w:rsidR="00881D2D" w:rsidRPr="005F28DB">
        <w:rPr>
          <w:rFonts w:ascii="Times New Roman" w:hAnsi="Times New Roman" w:cs="Times New Roman"/>
          <w:sz w:val="24"/>
          <w:szCs w:val="24"/>
        </w:rPr>
        <w:t>.</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881D2D" w:rsidRPr="005F28DB" w:rsidRDefault="00266B83"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Se han creado Juzgados Especializados en Violencia Doméstica y contratado personal</w:t>
      </w:r>
      <w:r w:rsidR="00662E5B" w:rsidRPr="005F28DB">
        <w:rPr>
          <w:rFonts w:ascii="Times New Roman" w:hAnsi="Times New Roman" w:cs="Times New Roman"/>
          <w:sz w:val="24"/>
          <w:szCs w:val="24"/>
        </w:rPr>
        <w:t xml:space="preserve"> especializado en la temática. D</w:t>
      </w:r>
      <w:r w:rsidRPr="005F28DB">
        <w:rPr>
          <w:rFonts w:ascii="Times New Roman" w:hAnsi="Times New Roman" w:cs="Times New Roman"/>
          <w:sz w:val="24"/>
          <w:szCs w:val="24"/>
        </w:rPr>
        <w:t xml:space="preserve">ichas dependencias cuentan con espacios que permiten la privacidad en casos de violencia doméstica. </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D9535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Con la L</w:t>
      </w:r>
      <w:r w:rsidR="00266B83" w:rsidRPr="005F28DB">
        <w:rPr>
          <w:rFonts w:ascii="Times New Roman" w:hAnsi="Times New Roman" w:cs="Times New Roman"/>
          <w:sz w:val="24"/>
          <w:szCs w:val="24"/>
        </w:rPr>
        <w:t xml:space="preserve">ey 8720 </w:t>
      </w:r>
      <w:r w:rsidR="00E945A5" w:rsidRPr="005F28DB">
        <w:rPr>
          <w:rFonts w:ascii="Times New Roman" w:hAnsi="Times New Roman" w:cs="Times New Roman"/>
          <w:sz w:val="24"/>
          <w:szCs w:val="24"/>
        </w:rPr>
        <w:t>d</w:t>
      </w:r>
      <w:r w:rsidR="00266B83" w:rsidRPr="005F28DB">
        <w:rPr>
          <w:rFonts w:ascii="Times New Roman" w:hAnsi="Times New Roman" w:cs="Times New Roman"/>
          <w:sz w:val="24"/>
          <w:szCs w:val="24"/>
        </w:rPr>
        <w:t>e protección a víctimas, testigos y demás sujetos intervinientes en el proceso penal, se establece la confidencialidad y protección de los datos de la víctima, sus familiares y/o testigos.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275BD5"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Hay un </w:t>
      </w:r>
      <w:r w:rsidR="00266B83" w:rsidRPr="005F28DB">
        <w:rPr>
          <w:rFonts w:ascii="Times New Roman" w:hAnsi="Times New Roman" w:cs="Times New Roman"/>
          <w:sz w:val="24"/>
          <w:szCs w:val="24"/>
        </w:rPr>
        <w:t xml:space="preserve">mecanismo nacional para proteger a las mujeres sus hijos e hijas víctimas de violencia </w:t>
      </w:r>
      <w:r w:rsidRPr="005F28DB">
        <w:rPr>
          <w:rFonts w:ascii="Times New Roman" w:hAnsi="Times New Roman" w:cs="Times New Roman"/>
          <w:sz w:val="24"/>
          <w:szCs w:val="24"/>
        </w:rPr>
        <w:t xml:space="preserve">que debe </w:t>
      </w:r>
      <w:r w:rsidR="00266B83" w:rsidRPr="005F28DB">
        <w:rPr>
          <w:rFonts w:ascii="Times New Roman" w:hAnsi="Times New Roman" w:cs="Times New Roman"/>
          <w:sz w:val="24"/>
          <w:szCs w:val="24"/>
        </w:rPr>
        <w:t>facilita</w:t>
      </w:r>
      <w:r w:rsidRPr="005F28DB">
        <w:rPr>
          <w:rFonts w:ascii="Times New Roman" w:hAnsi="Times New Roman" w:cs="Times New Roman"/>
          <w:sz w:val="24"/>
          <w:szCs w:val="24"/>
        </w:rPr>
        <w:t>r</w:t>
      </w:r>
      <w:r w:rsidR="00266B83" w:rsidRPr="005F28DB">
        <w:rPr>
          <w:rFonts w:ascii="Times New Roman" w:hAnsi="Times New Roman" w:cs="Times New Roman"/>
          <w:sz w:val="24"/>
          <w:szCs w:val="24"/>
        </w:rPr>
        <w:t xml:space="preserve"> recursos para traslados,</w:t>
      </w:r>
      <w:r w:rsidRPr="005F28DB">
        <w:rPr>
          <w:rFonts w:ascii="Times New Roman" w:hAnsi="Times New Roman" w:cs="Times New Roman"/>
          <w:sz w:val="24"/>
          <w:szCs w:val="24"/>
        </w:rPr>
        <w:t xml:space="preserve"> </w:t>
      </w:r>
      <w:r w:rsidR="00266B83" w:rsidRPr="005F28DB">
        <w:rPr>
          <w:rFonts w:ascii="Times New Roman" w:hAnsi="Times New Roman" w:cs="Times New Roman"/>
          <w:sz w:val="24"/>
          <w:szCs w:val="24"/>
        </w:rPr>
        <w:t>coordina</w:t>
      </w:r>
      <w:r w:rsidRPr="005F28DB">
        <w:rPr>
          <w:rFonts w:ascii="Times New Roman" w:hAnsi="Times New Roman" w:cs="Times New Roman"/>
          <w:sz w:val="24"/>
          <w:szCs w:val="24"/>
        </w:rPr>
        <w:t xml:space="preserve">ción para </w:t>
      </w:r>
      <w:r w:rsidR="00266B83" w:rsidRPr="005F28DB">
        <w:rPr>
          <w:rFonts w:ascii="Times New Roman" w:hAnsi="Times New Roman" w:cs="Times New Roman"/>
          <w:sz w:val="24"/>
          <w:szCs w:val="24"/>
        </w:rPr>
        <w:t xml:space="preserve">obtención de salvoconductos con el servicio de migración, </w:t>
      </w:r>
      <w:r w:rsidRPr="005F28DB">
        <w:rPr>
          <w:rFonts w:ascii="Times New Roman" w:hAnsi="Times New Roman" w:cs="Times New Roman"/>
          <w:sz w:val="24"/>
          <w:szCs w:val="24"/>
        </w:rPr>
        <w:t xml:space="preserve">tramitar </w:t>
      </w:r>
      <w:r w:rsidR="00266B83" w:rsidRPr="005F28DB">
        <w:rPr>
          <w:rFonts w:ascii="Times New Roman" w:hAnsi="Times New Roman" w:cs="Times New Roman"/>
          <w:sz w:val="24"/>
          <w:szCs w:val="24"/>
        </w:rPr>
        <w:t>apoyo de las Embajadas</w:t>
      </w:r>
      <w:r w:rsidR="00662E5B" w:rsidRPr="005F28DB">
        <w:rPr>
          <w:rFonts w:ascii="Times New Roman" w:hAnsi="Times New Roman" w:cs="Times New Roman"/>
          <w:sz w:val="24"/>
          <w:szCs w:val="24"/>
        </w:rPr>
        <w:t>, y e</w:t>
      </w:r>
      <w:r w:rsidRPr="005F28DB">
        <w:rPr>
          <w:rFonts w:ascii="Times New Roman" w:hAnsi="Times New Roman" w:cs="Times New Roman"/>
          <w:sz w:val="24"/>
          <w:szCs w:val="24"/>
        </w:rPr>
        <w:t xml:space="preserve">stablecer </w:t>
      </w:r>
      <w:r w:rsidR="00266B83" w:rsidRPr="005F28DB">
        <w:rPr>
          <w:rFonts w:ascii="Times New Roman" w:hAnsi="Times New Roman" w:cs="Times New Roman"/>
          <w:sz w:val="24"/>
          <w:szCs w:val="24"/>
        </w:rPr>
        <w:t xml:space="preserve"> mecanismos de rescate de mujeres, especialmente con la fuerza pública</w:t>
      </w:r>
      <w:r w:rsidRPr="005F28DB">
        <w:rPr>
          <w:rFonts w:ascii="Times New Roman" w:hAnsi="Times New Roman" w:cs="Times New Roman"/>
          <w:sz w:val="24"/>
          <w:szCs w:val="24"/>
        </w:rPr>
        <w:t>.</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275BD5"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Se creó la Coalición Nacional de Trata, en donde se establece  un Equipo de Respuesta Inmediata (ERI) el cual se activa ante la denuncia de un caso por la línea de emergencia 911.</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44245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M</w:t>
      </w:r>
      <w:r w:rsidR="000E2997" w:rsidRPr="005F28DB">
        <w:rPr>
          <w:rFonts w:ascii="Times New Roman" w:hAnsi="Times New Roman" w:cs="Times New Roman"/>
          <w:sz w:val="24"/>
          <w:szCs w:val="24"/>
        </w:rPr>
        <w:t xml:space="preserve">inisterio Público, </w:t>
      </w:r>
      <w:r w:rsidRPr="005F28DB">
        <w:rPr>
          <w:rFonts w:ascii="Times New Roman" w:hAnsi="Times New Roman" w:cs="Times New Roman"/>
          <w:sz w:val="24"/>
          <w:szCs w:val="24"/>
        </w:rPr>
        <w:t>con el  propósito</w:t>
      </w:r>
      <w:r w:rsidR="00A11D80" w:rsidRPr="005F28DB">
        <w:rPr>
          <w:rFonts w:ascii="Times New Roman" w:hAnsi="Times New Roman" w:cs="Times New Roman"/>
          <w:sz w:val="24"/>
          <w:szCs w:val="24"/>
        </w:rPr>
        <w:t xml:space="preserve"> de salvaguardar los </w:t>
      </w:r>
      <w:r w:rsidR="000E2997" w:rsidRPr="005F28DB">
        <w:rPr>
          <w:rFonts w:ascii="Times New Roman" w:hAnsi="Times New Roman" w:cs="Times New Roman"/>
          <w:sz w:val="24"/>
          <w:szCs w:val="24"/>
        </w:rPr>
        <w:t xml:space="preserve">derechos de las víctimas ordenó </w:t>
      </w:r>
      <w:r w:rsidR="00A11D80" w:rsidRPr="005F28DB">
        <w:rPr>
          <w:rFonts w:ascii="Times New Roman" w:hAnsi="Times New Roman" w:cs="Times New Roman"/>
          <w:sz w:val="24"/>
          <w:szCs w:val="24"/>
        </w:rPr>
        <w:t>la circular 15-ADM-2008, donde de manera expresa indica que los Fiscales y Fiscalas del Ministerio Público deben oponerse a la conciliación, fundamentando la posición en la existencia de relaciones desiguales de poder, en la dependencia económica y/o emocional en que se encuentra la víctima, por cuanto el principio básico de la conciliación es que las partes están en igualdad de condiciones.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A11D8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Se reporta que la oficina de Atención y Protección a Víctimas y Testigos del Poder Judicial, dentro de las partidas con mayor ejecución, destaco las sub partidas que permiten coadyuvar a las víctimas que requieren reubicarse para salvaguardar su vida o integridad física.</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A11D8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lastRenderedPageBreak/>
        <w:t>En las Fiscalías del Poder Judicial, existe un fondo de ayuda económica para la asistencia a las partes intervinientes en un proceso judicial (alimentación, pasajes y hospedaje)</w:t>
      </w:r>
      <w:r w:rsidR="00C810B0" w:rsidRPr="005F28DB">
        <w:rPr>
          <w:rFonts w:ascii="Times New Roman" w:hAnsi="Times New Roman" w:cs="Times New Roman"/>
          <w:sz w:val="24"/>
          <w:szCs w:val="24"/>
        </w:rPr>
        <w:t xml:space="preserve">; pero es </w:t>
      </w:r>
      <w:r w:rsidR="00442457" w:rsidRPr="005F28DB">
        <w:rPr>
          <w:rFonts w:ascii="Times New Roman" w:hAnsi="Times New Roman" w:cs="Times New Roman"/>
          <w:sz w:val="24"/>
          <w:szCs w:val="24"/>
        </w:rPr>
        <w:t xml:space="preserve"> de preocupación que  </w:t>
      </w:r>
      <w:r w:rsidR="00D9535B" w:rsidRPr="005F28DB">
        <w:rPr>
          <w:rFonts w:ascii="Times New Roman" w:hAnsi="Times New Roman" w:cs="Times New Roman"/>
          <w:sz w:val="24"/>
          <w:szCs w:val="24"/>
        </w:rPr>
        <w:t xml:space="preserve"> fiscalía indígena</w:t>
      </w:r>
      <w:r w:rsidR="00442457" w:rsidRPr="005F28DB">
        <w:rPr>
          <w:rFonts w:ascii="Times New Roman" w:hAnsi="Times New Roman" w:cs="Times New Roman"/>
          <w:sz w:val="24"/>
          <w:szCs w:val="24"/>
        </w:rPr>
        <w:t xml:space="preserve"> en funcionamiento</w:t>
      </w:r>
      <w:r w:rsidR="00D9535B" w:rsidRPr="005F28DB">
        <w:rPr>
          <w:rFonts w:ascii="Times New Roman" w:hAnsi="Times New Roman" w:cs="Times New Roman"/>
          <w:sz w:val="24"/>
          <w:szCs w:val="24"/>
        </w:rPr>
        <w:t xml:space="preserve"> no </w:t>
      </w:r>
      <w:r w:rsidR="00C810B0" w:rsidRPr="005F28DB">
        <w:rPr>
          <w:rFonts w:ascii="Times New Roman" w:hAnsi="Times New Roman" w:cs="Times New Roman"/>
          <w:sz w:val="24"/>
          <w:szCs w:val="24"/>
        </w:rPr>
        <w:t>cuente con</w:t>
      </w:r>
      <w:r w:rsidR="00D9535B" w:rsidRPr="005F28DB">
        <w:rPr>
          <w:rFonts w:ascii="Times New Roman" w:hAnsi="Times New Roman" w:cs="Times New Roman"/>
          <w:sz w:val="24"/>
          <w:szCs w:val="24"/>
        </w:rPr>
        <w:t xml:space="preserve"> traductores </w:t>
      </w:r>
      <w:r w:rsidR="004127E0" w:rsidRPr="005F28DB">
        <w:rPr>
          <w:rFonts w:ascii="Times New Roman" w:hAnsi="Times New Roman" w:cs="Times New Roman"/>
          <w:sz w:val="24"/>
          <w:szCs w:val="24"/>
        </w:rPr>
        <w:t xml:space="preserve">en lengua materna  </w:t>
      </w:r>
      <w:r w:rsidR="00D9535B" w:rsidRPr="005F28DB">
        <w:rPr>
          <w:rFonts w:ascii="Times New Roman" w:hAnsi="Times New Roman" w:cs="Times New Roman"/>
          <w:sz w:val="24"/>
          <w:szCs w:val="24"/>
        </w:rPr>
        <w:t xml:space="preserve">asunto indispensable para el acceso a la justicia.    </w:t>
      </w:r>
      <w:r w:rsidR="004D124C" w:rsidRPr="005F28DB">
        <w:rPr>
          <w:rFonts w:ascii="Times New Roman" w:hAnsi="Times New Roman" w:cs="Times New Roman"/>
          <w:sz w:val="24"/>
          <w:szCs w:val="24"/>
        </w:rPr>
        <w:t xml:space="preserve">  </w:t>
      </w:r>
    </w:p>
    <w:p w:rsidR="00881D2D" w:rsidRPr="005F28DB" w:rsidRDefault="00881D2D" w:rsidP="003D6EFF">
      <w:pPr>
        <w:pStyle w:val="ListParagraph"/>
        <w:spacing w:after="0" w:line="240" w:lineRule="auto"/>
        <w:rPr>
          <w:rFonts w:ascii="Times New Roman" w:hAnsi="Times New Roman" w:cs="Times New Roman"/>
          <w:sz w:val="24"/>
          <w:szCs w:val="24"/>
        </w:rPr>
      </w:pPr>
    </w:p>
    <w:p w:rsidR="00E945A5" w:rsidRPr="005F28DB" w:rsidRDefault="004E683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Además</w:t>
      </w:r>
      <w:r w:rsidR="00D93069" w:rsidRPr="005F28DB">
        <w:rPr>
          <w:rFonts w:ascii="Times New Roman" w:hAnsi="Times New Roman" w:cs="Times New Roman"/>
          <w:sz w:val="24"/>
          <w:szCs w:val="24"/>
        </w:rPr>
        <w:t>,</w:t>
      </w:r>
      <w:r w:rsidRPr="005F28DB">
        <w:rPr>
          <w:rFonts w:ascii="Times New Roman" w:hAnsi="Times New Roman" w:cs="Times New Roman"/>
          <w:sz w:val="24"/>
          <w:szCs w:val="24"/>
        </w:rPr>
        <w:t xml:space="preserve"> se produjo </w:t>
      </w:r>
      <w:r w:rsidR="00662E5B" w:rsidRPr="005F28DB">
        <w:rPr>
          <w:rFonts w:ascii="Times New Roman" w:hAnsi="Times New Roman" w:cs="Times New Roman"/>
          <w:sz w:val="24"/>
          <w:szCs w:val="24"/>
        </w:rPr>
        <w:t xml:space="preserve">información estadísticas sobre el </w:t>
      </w:r>
      <w:r w:rsidRPr="005F28DB">
        <w:rPr>
          <w:rFonts w:ascii="Times New Roman" w:hAnsi="Times New Roman" w:cs="Times New Roman"/>
          <w:sz w:val="24"/>
          <w:szCs w:val="24"/>
        </w:rPr>
        <w:t>número de mujeres víctimas de femicidio en los últimos doce meses,</w:t>
      </w:r>
      <w:r w:rsidR="00662E5B" w:rsidRPr="005F28DB">
        <w:rPr>
          <w:rFonts w:ascii="Times New Roman" w:hAnsi="Times New Roman" w:cs="Times New Roman"/>
          <w:sz w:val="24"/>
          <w:szCs w:val="24"/>
        </w:rPr>
        <w:t xml:space="preserve"> que </w:t>
      </w:r>
      <w:r w:rsidR="00442457" w:rsidRPr="005F28DB">
        <w:rPr>
          <w:rFonts w:ascii="Times New Roman" w:hAnsi="Times New Roman" w:cs="Times New Roman"/>
          <w:sz w:val="24"/>
          <w:szCs w:val="24"/>
        </w:rPr>
        <w:t xml:space="preserve">se clasifica </w:t>
      </w:r>
      <w:r w:rsidRPr="005F28DB">
        <w:rPr>
          <w:rFonts w:ascii="Times New Roman" w:hAnsi="Times New Roman" w:cs="Times New Roman"/>
          <w:sz w:val="24"/>
          <w:szCs w:val="24"/>
        </w:rPr>
        <w:t xml:space="preserve"> por edad, estado civil, causa de muerte, ubicación geográfica, número de procesos de femicidio sentenciados en los últimos doce meses con respecto al total de casos registrados, y número de personal capacitado en el sistema de justicia con perspectiva de género y el cuidado de la interculturalidad. </w:t>
      </w:r>
      <w:r w:rsidR="00E945A5" w:rsidRPr="005F28DB">
        <w:rPr>
          <w:rFonts w:ascii="Times New Roman" w:hAnsi="Times New Roman" w:cs="Times New Roman"/>
          <w:sz w:val="24"/>
          <w:szCs w:val="24"/>
        </w:rPr>
        <w:t xml:space="preserve">  </w:t>
      </w:r>
    </w:p>
    <w:p w:rsidR="00662E5B" w:rsidRPr="005F28DB" w:rsidRDefault="00662E5B" w:rsidP="00662E5B">
      <w:pPr>
        <w:pStyle w:val="ListParagraph"/>
        <w:rPr>
          <w:rFonts w:ascii="Times New Roman" w:hAnsi="Times New Roman" w:cs="Times New Roman"/>
          <w:sz w:val="24"/>
          <w:szCs w:val="24"/>
        </w:rPr>
      </w:pPr>
    </w:p>
    <w:p w:rsidR="004E6830" w:rsidRPr="005F28DB" w:rsidRDefault="004E6830" w:rsidP="003D6EFF">
      <w:pPr>
        <w:spacing w:after="0" w:line="240" w:lineRule="auto"/>
        <w:jc w:val="both"/>
        <w:rPr>
          <w:rFonts w:ascii="Times New Roman" w:hAnsi="Times New Roman" w:cs="Times New Roman"/>
          <w:sz w:val="24"/>
          <w:szCs w:val="24"/>
        </w:rPr>
      </w:pPr>
      <w:r w:rsidRPr="005F28DB">
        <w:rPr>
          <w:rFonts w:ascii="Times New Roman" w:hAnsi="Times New Roman" w:cs="Times New Roman"/>
          <w:b/>
          <w:sz w:val="24"/>
          <w:szCs w:val="24"/>
        </w:rPr>
        <w:t>Progreso en cuanto a capacidades estatales, contexto financiero básico, compromisos presupuestarios, información estadística</w:t>
      </w:r>
      <w:r w:rsidRPr="005F28DB">
        <w:rPr>
          <w:rFonts w:ascii="Times New Roman" w:hAnsi="Times New Roman" w:cs="Times New Roman"/>
          <w:sz w:val="24"/>
          <w:szCs w:val="24"/>
        </w:rPr>
        <w:t>.</w:t>
      </w:r>
    </w:p>
    <w:p w:rsidR="00662E5B" w:rsidRPr="005F28DB" w:rsidRDefault="00662E5B" w:rsidP="003D6EFF">
      <w:pPr>
        <w:spacing w:after="0" w:line="240" w:lineRule="auto"/>
        <w:jc w:val="both"/>
        <w:rPr>
          <w:rFonts w:ascii="Times New Roman" w:hAnsi="Times New Roman" w:cs="Times New Roman"/>
          <w:sz w:val="24"/>
          <w:szCs w:val="24"/>
        </w:rPr>
      </w:pPr>
    </w:p>
    <w:p w:rsidR="00881D2D" w:rsidRPr="005F28DB" w:rsidRDefault="00C810B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Se reporta </w:t>
      </w:r>
      <w:r w:rsidR="00961A4D" w:rsidRPr="005F28DB">
        <w:rPr>
          <w:rFonts w:ascii="Times New Roman" w:hAnsi="Times New Roman" w:cs="Times New Roman"/>
          <w:sz w:val="24"/>
          <w:szCs w:val="24"/>
        </w:rPr>
        <w:t xml:space="preserve">rezago en la utilización de la Convención de Belém do Pará en forma sistemática en los juzgados </w:t>
      </w:r>
      <w:r w:rsidR="00662E5B" w:rsidRPr="005F28DB">
        <w:rPr>
          <w:rFonts w:ascii="Times New Roman" w:hAnsi="Times New Roman" w:cs="Times New Roman"/>
          <w:sz w:val="24"/>
          <w:szCs w:val="24"/>
        </w:rPr>
        <w:t>y</w:t>
      </w:r>
      <w:r w:rsidR="00961A4D" w:rsidRPr="005F28DB">
        <w:rPr>
          <w:rFonts w:ascii="Times New Roman" w:hAnsi="Times New Roman" w:cs="Times New Roman"/>
          <w:sz w:val="24"/>
          <w:szCs w:val="24"/>
        </w:rPr>
        <w:t xml:space="preserve"> en las fiscalías. No hay estudios o evaluaciones sobre el uso de la Convención y los Tratados Internacionales de derechos humanos en las sentencias y dictámenes judiciales y del Ministerio Público.</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881D2D" w:rsidRPr="005F28DB" w:rsidRDefault="00442457"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Se desconoce la existencia de </w:t>
      </w:r>
      <w:r w:rsidR="00961A4D" w:rsidRPr="005F28DB">
        <w:rPr>
          <w:rFonts w:ascii="Times New Roman" w:hAnsi="Times New Roman" w:cs="Times New Roman"/>
          <w:sz w:val="24"/>
          <w:szCs w:val="24"/>
        </w:rPr>
        <w:t xml:space="preserve"> estudios sobre el uso de estereotipos, prejuicios, mitos o costumbres en los casos de muje</w:t>
      </w:r>
      <w:r w:rsidR="0086786C" w:rsidRPr="005F28DB">
        <w:rPr>
          <w:rFonts w:ascii="Times New Roman" w:hAnsi="Times New Roman" w:cs="Times New Roman"/>
          <w:sz w:val="24"/>
          <w:szCs w:val="24"/>
        </w:rPr>
        <w:t xml:space="preserve">res víctimas de violencia variable que </w:t>
      </w:r>
      <w:r w:rsidR="00961A4D" w:rsidRPr="005F28DB">
        <w:rPr>
          <w:rFonts w:ascii="Times New Roman" w:hAnsi="Times New Roman" w:cs="Times New Roman"/>
          <w:sz w:val="24"/>
          <w:szCs w:val="24"/>
        </w:rPr>
        <w:t xml:space="preserve"> puede afectar el proceso y/o las sentencias, así como </w:t>
      </w:r>
      <w:r w:rsidR="00662E5B" w:rsidRPr="005F28DB">
        <w:rPr>
          <w:rFonts w:ascii="Times New Roman" w:hAnsi="Times New Roman" w:cs="Times New Roman"/>
          <w:sz w:val="24"/>
          <w:szCs w:val="24"/>
        </w:rPr>
        <w:t xml:space="preserve">información que indique </w:t>
      </w:r>
      <w:r w:rsidR="00961A4D" w:rsidRPr="005F28DB">
        <w:rPr>
          <w:rFonts w:ascii="Times New Roman" w:hAnsi="Times New Roman" w:cs="Times New Roman"/>
          <w:sz w:val="24"/>
          <w:szCs w:val="24"/>
        </w:rPr>
        <w:t>si en la impartición de justicia</w:t>
      </w:r>
      <w:r w:rsidR="0086786C" w:rsidRPr="005F28DB">
        <w:rPr>
          <w:rFonts w:ascii="Times New Roman" w:hAnsi="Times New Roman" w:cs="Times New Roman"/>
          <w:sz w:val="24"/>
          <w:szCs w:val="24"/>
        </w:rPr>
        <w:t xml:space="preserve"> </w:t>
      </w:r>
      <w:r w:rsidR="00961A4D" w:rsidRPr="005F28DB">
        <w:rPr>
          <w:rFonts w:ascii="Times New Roman" w:hAnsi="Times New Roman" w:cs="Times New Roman"/>
          <w:sz w:val="24"/>
          <w:szCs w:val="24"/>
        </w:rPr>
        <w:t xml:space="preserve">se toma </w:t>
      </w:r>
      <w:r w:rsidR="00662E5B" w:rsidRPr="005F28DB">
        <w:rPr>
          <w:rFonts w:ascii="Times New Roman" w:hAnsi="Times New Roman" w:cs="Times New Roman"/>
          <w:sz w:val="24"/>
          <w:szCs w:val="24"/>
        </w:rPr>
        <w:t xml:space="preserve">o no </w:t>
      </w:r>
      <w:r w:rsidR="00961A4D" w:rsidRPr="005F28DB">
        <w:rPr>
          <w:rFonts w:ascii="Times New Roman" w:hAnsi="Times New Roman" w:cs="Times New Roman"/>
          <w:sz w:val="24"/>
          <w:szCs w:val="24"/>
        </w:rPr>
        <w:t xml:space="preserve">en cuenta negativamente la historia personal de la víctima o su experiencia sexual antes de emitir </w:t>
      </w:r>
      <w:r w:rsidR="00662E5B" w:rsidRPr="005F28DB">
        <w:rPr>
          <w:rFonts w:ascii="Times New Roman" w:hAnsi="Times New Roman" w:cs="Times New Roman"/>
          <w:sz w:val="24"/>
          <w:szCs w:val="24"/>
        </w:rPr>
        <w:t xml:space="preserve">las </w:t>
      </w:r>
      <w:r w:rsidR="00961A4D" w:rsidRPr="005F28DB">
        <w:rPr>
          <w:rFonts w:ascii="Times New Roman" w:hAnsi="Times New Roman" w:cs="Times New Roman"/>
          <w:sz w:val="24"/>
          <w:szCs w:val="24"/>
        </w:rPr>
        <w:t>sentencias.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BF11EA"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Informe de Indicadores de Progreso da cuenta del esfuerzo realizado para producir  información estadística aunque la misma no se produjo para </w:t>
      </w:r>
      <w:r w:rsidR="005A59BE" w:rsidRPr="005F28DB">
        <w:rPr>
          <w:rFonts w:ascii="Times New Roman" w:hAnsi="Times New Roman" w:cs="Times New Roman"/>
          <w:sz w:val="24"/>
          <w:szCs w:val="24"/>
        </w:rPr>
        <w:t xml:space="preserve">todos </w:t>
      </w:r>
      <w:r w:rsidRPr="005F28DB">
        <w:rPr>
          <w:rFonts w:ascii="Times New Roman" w:hAnsi="Times New Roman" w:cs="Times New Roman"/>
          <w:sz w:val="24"/>
          <w:szCs w:val="24"/>
        </w:rPr>
        <w:t>los ítems solicitados ni desagregado</w:t>
      </w:r>
      <w:r w:rsidR="00662E5B" w:rsidRPr="005F28DB">
        <w:rPr>
          <w:rFonts w:ascii="Times New Roman" w:hAnsi="Times New Roman" w:cs="Times New Roman"/>
          <w:sz w:val="24"/>
          <w:szCs w:val="24"/>
        </w:rPr>
        <w:t xml:space="preserve">s por sexo, edad, raza y etnia o </w:t>
      </w:r>
      <w:r w:rsidRPr="005F28DB">
        <w:rPr>
          <w:rFonts w:ascii="Times New Roman" w:hAnsi="Times New Roman" w:cs="Times New Roman"/>
          <w:sz w:val="24"/>
          <w:szCs w:val="24"/>
        </w:rPr>
        <w:t>condición socioeconómica.</w:t>
      </w:r>
      <w:r w:rsidR="0086786C" w:rsidRPr="005F28DB">
        <w:rPr>
          <w:rFonts w:ascii="Times New Roman" w:hAnsi="Times New Roman" w:cs="Times New Roman"/>
          <w:sz w:val="24"/>
          <w:szCs w:val="24"/>
        </w:rPr>
        <w:t xml:space="preserve"> </w:t>
      </w:r>
      <w:r w:rsidRPr="005F28DB">
        <w:rPr>
          <w:rFonts w:ascii="Times New Roman" w:hAnsi="Times New Roman" w:cs="Times New Roman"/>
          <w:sz w:val="24"/>
          <w:szCs w:val="24"/>
        </w:rPr>
        <w:t xml:space="preserve">La información proporcionada estuvo a </w:t>
      </w:r>
      <w:r w:rsidR="00662E5B" w:rsidRPr="005F28DB">
        <w:rPr>
          <w:rFonts w:ascii="Times New Roman" w:hAnsi="Times New Roman" w:cs="Times New Roman"/>
          <w:sz w:val="24"/>
          <w:szCs w:val="24"/>
        </w:rPr>
        <w:t>cargo del Poder Judicial y trató</w:t>
      </w:r>
      <w:r w:rsidRPr="005F28DB">
        <w:rPr>
          <w:rFonts w:ascii="Times New Roman" w:hAnsi="Times New Roman" w:cs="Times New Roman"/>
          <w:sz w:val="24"/>
          <w:szCs w:val="24"/>
        </w:rPr>
        <w:t xml:space="preserve"> sobre órdenes de protección otorgadas en casos de violencia contra las mujeres, con respecto al número de  órdenes de protección solicitadas, número de sentencias judiciales o dictámenes de violencia intrafamiliar o por cualquier otra forma de violencia (psicológica, física, sexual, patrimonial, económica, institucional, política, violencia laboral, acoso sexual, acoso político, violencia obstétrica etc.)</w:t>
      </w:r>
      <w:r w:rsidR="005A59BE" w:rsidRPr="005F28DB">
        <w:rPr>
          <w:rFonts w:ascii="Times New Roman" w:hAnsi="Times New Roman" w:cs="Times New Roman"/>
          <w:sz w:val="24"/>
          <w:szCs w:val="24"/>
        </w:rPr>
        <w:t xml:space="preserve"> y número de mujeres que han presentado denuncias por violencia en las comisarías y oficinas policiales.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5A59BE"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general</w:t>
      </w:r>
      <w:r w:rsidR="00662E5B" w:rsidRPr="005F28DB">
        <w:rPr>
          <w:rFonts w:ascii="Times New Roman" w:hAnsi="Times New Roman" w:cs="Times New Roman"/>
          <w:sz w:val="24"/>
          <w:szCs w:val="24"/>
        </w:rPr>
        <w:t xml:space="preserve">, consideramos que El Estado proporcionó información </w:t>
      </w:r>
      <w:r w:rsidRPr="005F28DB">
        <w:rPr>
          <w:rFonts w:ascii="Times New Roman" w:hAnsi="Times New Roman" w:cs="Times New Roman"/>
          <w:sz w:val="24"/>
          <w:szCs w:val="24"/>
        </w:rPr>
        <w:t>para los indicadores estructurales, de prog</w:t>
      </w:r>
      <w:r w:rsidR="0086786C" w:rsidRPr="005F28DB">
        <w:rPr>
          <w:rFonts w:ascii="Times New Roman" w:hAnsi="Times New Roman" w:cs="Times New Roman"/>
          <w:sz w:val="24"/>
          <w:szCs w:val="24"/>
        </w:rPr>
        <w:t>r</w:t>
      </w:r>
      <w:r w:rsidR="00662E5B" w:rsidRPr="005F28DB">
        <w:rPr>
          <w:rFonts w:ascii="Times New Roman" w:hAnsi="Times New Roman" w:cs="Times New Roman"/>
          <w:sz w:val="24"/>
          <w:szCs w:val="24"/>
        </w:rPr>
        <w:t>eso, y de resultado</w:t>
      </w:r>
      <w:r w:rsidR="0086786C" w:rsidRPr="005F28DB">
        <w:rPr>
          <w:rFonts w:ascii="Times New Roman" w:hAnsi="Times New Roman" w:cs="Times New Roman"/>
          <w:sz w:val="24"/>
          <w:szCs w:val="24"/>
        </w:rPr>
        <w:t xml:space="preserve">,  salvo </w:t>
      </w:r>
      <w:r w:rsidRPr="005F28DB">
        <w:rPr>
          <w:rFonts w:ascii="Times New Roman" w:hAnsi="Times New Roman" w:cs="Times New Roman"/>
          <w:sz w:val="24"/>
          <w:szCs w:val="24"/>
        </w:rPr>
        <w:t xml:space="preserve"> </w:t>
      </w:r>
      <w:r w:rsidR="004E6830" w:rsidRPr="005F28DB">
        <w:rPr>
          <w:rFonts w:ascii="Times New Roman" w:hAnsi="Times New Roman" w:cs="Times New Roman"/>
          <w:sz w:val="24"/>
          <w:szCs w:val="24"/>
        </w:rPr>
        <w:t xml:space="preserve">información </w:t>
      </w:r>
      <w:r w:rsidR="0086786C" w:rsidRPr="005F28DB">
        <w:rPr>
          <w:rFonts w:ascii="Times New Roman" w:hAnsi="Times New Roman" w:cs="Times New Roman"/>
          <w:sz w:val="24"/>
          <w:szCs w:val="24"/>
        </w:rPr>
        <w:t xml:space="preserve">básica  sobre </w:t>
      </w:r>
      <w:r w:rsidRPr="005F28DB">
        <w:rPr>
          <w:rFonts w:ascii="Times New Roman" w:hAnsi="Times New Roman" w:cs="Times New Roman"/>
          <w:sz w:val="24"/>
          <w:szCs w:val="24"/>
        </w:rPr>
        <w:t xml:space="preserve"> presupuesto</w:t>
      </w:r>
      <w:r w:rsidR="0086786C" w:rsidRPr="005F28DB">
        <w:rPr>
          <w:rFonts w:ascii="Times New Roman" w:hAnsi="Times New Roman" w:cs="Times New Roman"/>
          <w:sz w:val="24"/>
          <w:szCs w:val="24"/>
        </w:rPr>
        <w:t>s</w:t>
      </w:r>
      <w:r w:rsidRPr="005F28DB">
        <w:rPr>
          <w:rFonts w:ascii="Times New Roman" w:hAnsi="Times New Roman" w:cs="Times New Roman"/>
          <w:sz w:val="24"/>
          <w:szCs w:val="24"/>
        </w:rPr>
        <w:t xml:space="preserve"> y los datos desagregados por sexo, edad, raza y etnia, condición socioeconómica en </w:t>
      </w:r>
      <w:r w:rsidR="00662E5B" w:rsidRPr="005F28DB">
        <w:rPr>
          <w:rFonts w:ascii="Times New Roman" w:hAnsi="Times New Roman" w:cs="Times New Roman"/>
          <w:sz w:val="24"/>
          <w:szCs w:val="24"/>
        </w:rPr>
        <w:t>los que aún existe mucho rezago.  D</w:t>
      </w:r>
      <w:r w:rsidRPr="005F28DB">
        <w:rPr>
          <w:rFonts w:ascii="Times New Roman" w:hAnsi="Times New Roman" w:cs="Times New Roman"/>
          <w:sz w:val="24"/>
          <w:szCs w:val="24"/>
        </w:rPr>
        <w:t xml:space="preserve">e igual forma </w:t>
      </w:r>
      <w:r w:rsidR="00662E5B" w:rsidRPr="005F28DB">
        <w:rPr>
          <w:rFonts w:ascii="Times New Roman" w:hAnsi="Times New Roman" w:cs="Times New Roman"/>
          <w:sz w:val="24"/>
          <w:szCs w:val="24"/>
        </w:rPr>
        <w:t xml:space="preserve">falta </w:t>
      </w:r>
      <w:r w:rsidRPr="005F28DB">
        <w:rPr>
          <w:rFonts w:ascii="Times New Roman" w:hAnsi="Times New Roman" w:cs="Times New Roman"/>
          <w:sz w:val="24"/>
          <w:szCs w:val="24"/>
        </w:rPr>
        <w:t xml:space="preserve">la información cualitativa </w:t>
      </w:r>
      <w:r w:rsidR="00662E5B" w:rsidRPr="005F28DB">
        <w:rPr>
          <w:rFonts w:ascii="Times New Roman" w:hAnsi="Times New Roman" w:cs="Times New Roman"/>
          <w:sz w:val="24"/>
          <w:szCs w:val="24"/>
        </w:rPr>
        <w:t xml:space="preserve">sobre </w:t>
      </w:r>
      <w:r w:rsidRPr="005F28DB">
        <w:rPr>
          <w:rFonts w:ascii="Times New Roman" w:hAnsi="Times New Roman" w:cs="Times New Roman"/>
          <w:sz w:val="24"/>
          <w:szCs w:val="24"/>
        </w:rPr>
        <w:t xml:space="preserve"> la medición de la efectividad de las actuaciones.     </w:t>
      </w:r>
    </w:p>
    <w:p w:rsidR="00881D2D" w:rsidRPr="005F28DB" w:rsidRDefault="00881D2D" w:rsidP="003D6EFF">
      <w:pPr>
        <w:pStyle w:val="ListParagraph"/>
        <w:spacing w:after="0" w:line="240" w:lineRule="auto"/>
        <w:rPr>
          <w:rFonts w:ascii="Times New Roman" w:hAnsi="Times New Roman" w:cs="Times New Roman"/>
          <w:sz w:val="24"/>
          <w:szCs w:val="24"/>
        </w:rPr>
      </w:pPr>
    </w:p>
    <w:p w:rsidR="001913ED" w:rsidRPr="005F28DB" w:rsidRDefault="001913ED"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No se dispone de información sobre </w:t>
      </w:r>
      <w:r w:rsidR="00662E5B" w:rsidRPr="005F28DB">
        <w:rPr>
          <w:rFonts w:ascii="Times New Roman" w:hAnsi="Times New Roman" w:cs="Times New Roman"/>
          <w:sz w:val="24"/>
          <w:szCs w:val="24"/>
        </w:rPr>
        <w:t xml:space="preserve">la </w:t>
      </w:r>
      <w:r w:rsidRPr="005F28DB">
        <w:rPr>
          <w:rFonts w:ascii="Times New Roman" w:hAnsi="Times New Roman" w:cs="Times New Roman"/>
          <w:sz w:val="24"/>
          <w:szCs w:val="24"/>
        </w:rPr>
        <w:t xml:space="preserve">ley nacional de presupuesto con </w:t>
      </w:r>
      <w:r w:rsidR="004E6830" w:rsidRPr="005F28DB">
        <w:rPr>
          <w:rFonts w:ascii="Times New Roman" w:hAnsi="Times New Roman" w:cs="Times New Roman"/>
          <w:sz w:val="24"/>
          <w:szCs w:val="24"/>
        </w:rPr>
        <w:t xml:space="preserve">partidas </w:t>
      </w:r>
      <w:r w:rsidR="00662E5B" w:rsidRPr="005F28DB">
        <w:rPr>
          <w:rFonts w:ascii="Times New Roman" w:hAnsi="Times New Roman" w:cs="Times New Roman"/>
          <w:sz w:val="24"/>
          <w:szCs w:val="24"/>
        </w:rPr>
        <w:t xml:space="preserve">etiquetadas </w:t>
      </w:r>
      <w:r w:rsidRPr="005F28DB">
        <w:rPr>
          <w:rFonts w:ascii="Times New Roman" w:hAnsi="Times New Roman" w:cs="Times New Roman"/>
          <w:sz w:val="24"/>
          <w:szCs w:val="24"/>
        </w:rPr>
        <w:t xml:space="preserve">para el cumplimiento de las obligaciones previstas para asegurar </w:t>
      </w:r>
      <w:r w:rsidR="00662E5B" w:rsidRPr="005F28DB">
        <w:rPr>
          <w:rFonts w:ascii="Times New Roman" w:hAnsi="Times New Roman" w:cs="Times New Roman"/>
          <w:sz w:val="24"/>
          <w:szCs w:val="24"/>
        </w:rPr>
        <w:t xml:space="preserve">la </w:t>
      </w:r>
      <w:r w:rsidRPr="005F28DB">
        <w:rPr>
          <w:rFonts w:ascii="Times New Roman" w:hAnsi="Times New Roman" w:cs="Times New Roman"/>
          <w:sz w:val="24"/>
          <w:szCs w:val="24"/>
        </w:rPr>
        <w:t xml:space="preserve">adopción de las medidas previstas en la Convención de Belém do Pará y </w:t>
      </w:r>
      <w:r w:rsidR="00662E5B" w:rsidRPr="005F28DB">
        <w:rPr>
          <w:rFonts w:ascii="Times New Roman" w:hAnsi="Times New Roman" w:cs="Times New Roman"/>
          <w:sz w:val="24"/>
          <w:szCs w:val="24"/>
        </w:rPr>
        <w:t xml:space="preserve">la </w:t>
      </w:r>
      <w:r w:rsidRPr="005F28DB">
        <w:rPr>
          <w:rFonts w:ascii="Times New Roman" w:hAnsi="Times New Roman" w:cs="Times New Roman"/>
          <w:sz w:val="24"/>
          <w:szCs w:val="24"/>
        </w:rPr>
        <w:t>legislación nacional, libre de discriminaciones.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881D2D" w:rsidP="003D6EFF">
      <w:pPr>
        <w:pStyle w:val="ListParagraph"/>
        <w:numPr>
          <w:ilvl w:val="0"/>
          <w:numId w:val="12"/>
        </w:numPr>
        <w:spacing w:after="0" w:line="240" w:lineRule="auto"/>
        <w:jc w:val="both"/>
        <w:rPr>
          <w:rFonts w:ascii="Times New Roman" w:hAnsi="Times New Roman" w:cs="Times New Roman"/>
          <w:b/>
          <w:bCs/>
          <w:color w:val="000000"/>
          <w:sz w:val="24"/>
          <w:szCs w:val="24"/>
        </w:rPr>
      </w:pPr>
      <w:r w:rsidRPr="005F28DB">
        <w:rPr>
          <w:rFonts w:ascii="Times New Roman" w:hAnsi="Times New Roman" w:cs="Times New Roman"/>
          <w:b/>
          <w:sz w:val="24"/>
          <w:szCs w:val="24"/>
        </w:rPr>
        <w:t xml:space="preserve">INFORMACIÓN Y ESTADÍSTICAS – Art. 8 inciso h) </w:t>
      </w:r>
      <w:r w:rsidRPr="005F28DB">
        <w:rPr>
          <w:rFonts w:ascii="Times New Roman" w:hAnsi="Times New Roman" w:cs="Times New Roman"/>
          <w:b/>
          <w:bCs/>
          <w:color w:val="000000"/>
          <w:sz w:val="24"/>
          <w:szCs w:val="24"/>
        </w:rPr>
        <w:t>de la Convención de Belém do Pará</w:t>
      </w:r>
    </w:p>
    <w:p w:rsidR="00D93069" w:rsidRPr="005F28DB" w:rsidRDefault="00D93069" w:rsidP="003D6EFF">
      <w:pPr>
        <w:pStyle w:val="ListParagraph"/>
        <w:spacing w:after="0" w:line="240" w:lineRule="auto"/>
        <w:jc w:val="both"/>
        <w:rPr>
          <w:rFonts w:ascii="Times New Roman" w:hAnsi="Times New Roman" w:cs="Times New Roman"/>
          <w:b/>
          <w:bCs/>
          <w:color w:val="000000"/>
          <w:sz w:val="24"/>
          <w:szCs w:val="24"/>
        </w:rPr>
      </w:pPr>
    </w:p>
    <w:p w:rsidR="00881D2D" w:rsidRPr="005F28DB" w:rsidRDefault="00961A4D"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Existe un Sistema Unificado de Medición Estadística de la Violencia de Género integrada por las siguientes instituciones gubernamentales: Corte Suprema </w:t>
      </w:r>
      <w:r w:rsidR="00C810B0" w:rsidRPr="005F28DB">
        <w:rPr>
          <w:rFonts w:ascii="Times New Roman" w:hAnsi="Times New Roman" w:cs="Times New Roman"/>
          <w:sz w:val="24"/>
          <w:szCs w:val="24"/>
        </w:rPr>
        <w:t>d</w:t>
      </w:r>
      <w:r w:rsidRPr="005F28DB">
        <w:rPr>
          <w:rFonts w:ascii="Times New Roman" w:hAnsi="Times New Roman" w:cs="Times New Roman"/>
          <w:sz w:val="24"/>
          <w:szCs w:val="24"/>
        </w:rPr>
        <w:t xml:space="preserve">e Justicia, Ministerio </w:t>
      </w:r>
      <w:r w:rsidR="00C810B0" w:rsidRPr="005F28DB">
        <w:rPr>
          <w:rFonts w:ascii="Times New Roman" w:hAnsi="Times New Roman" w:cs="Times New Roman"/>
          <w:sz w:val="24"/>
          <w:szCs w:val="24"/>
        </w:rPr>
        <w:t>d</w:t>
      </w:r>
      <w:r w:rsidRPr="005F28DB">
        <w:rPr>
          <w:rFonts w:ascii="Times New Roman" w:hAnsi="Times New Roman" w:cs="Times New Roman"/>
          <w:sz w:val="24"/>
          <w:szCs w:val="24"/>
        </w:rPr>
        <w:t>e Seguridad Publica, Defensor</w:t>
      </w:r>
      <w:r w:rsidR="00C810B0" w:rsidRPr="005F28DB">
        <w:rPr>
          <w:rFonts w:ascii="Times New Roman" w:hAnsi="Times New Roman" w:cs="Times New Roman"/>
          <w:sz w:val="24"/>
          <w:szCs w:val="24"/>
        </w:rPr>
        <w:t>í</w:t>
      </w:r>
      <w:r w:rsidRPr="005F28DB">
        <w:rPr>
          <w:rFonts w:ascii="Times New Roman" w:hAnsi="Times New Roman" w:cs="Times New Roman"/>
          <w:sz w:val="24"/>
          <w:szCs w:val="24"/>
        </w:rPr>
        <w:t xml:space="preserve">a </w:t>
      </w:r>
      <w:r w:rsidR="00C810B0" w:rsidRPr="005F28DB">
        <w:rPr>
          <w:rFonts w:ascii="Times New Roman" w:hAnsi="Times New Roman" w:cs="Times New Roman"/>
          <w:sz w:val="24"/>
          <w:szCs w:val="24"/>
        </w:rPr>
        <w:t>d</w:t>
      </w:r>
      <w:r w:rsidRPr="005F28DB">
        <w:rPr>
          <w:rFonts w:ascii="Times New Roman" w:hAnsi="Times New Roman" w:cs="Times New Roman"/>
          <w:sz w:val="24"/>
          <w:szCs w:val="24"/>
        </w:rPr>
        <w:t xml:space="preserve">e </w:t>
      </w:r>
      <w:r w:rsidR="00C810B0" w:rsidRPr="005F28DB">
        <w:rPr>
          <w:rFonts w:ascii="Times New Roman" w:hAnsi="Times New Roman" w:cs="Times New Roman"/>
          <w:sz w:val="24"/>
          <w:szCs w:val="24"/>
        </w:rPr>
        <w:t>l</w:t>
      </w:r>
      <w:r w:rsidRPr="005F28DB">
        <w:rPr>
          <w:rFonts w:ascii="Times New Roman" w:hAnsi="Times New Roman" w:cs="Times New Roman"/>
          <w:sz w:val="24"/>
          <w:szCs w:val="24"/>
        </w:rPr>
        <w:t xml:space="preserve">os Habitantes, Instituto Nacional De Las Mujeres, Instituto Nacional De Estadísticas Y Censos, Fundación Justicia </w:t>
      </w:r>
      <w:r w:rsidR="00C810B0" w:rsidRPr="005F28DB">
        <w:rPr>
          <w:rFonts w:ascii="Times New Roman" w:hAnsi="Times New Roman" w:cs="Times New Roman"/>
          <w:sz w:val="24"/>
          <w:szCs w:val="24"/>
        </w:rPr>
        <w:t>y</w:t>
      </w:r>
      <w:r w:rsidRPr="005F28DB">
        <w:rPr>
          <w:rFonts w:ascii="Times New Roman" w:hAnsi="Times New Roman" w:cs="Times New Roman"/>
          <w:sz w:val="24"/>
          <w:szCs w:val="24"/>
        </w:rPr>
        <w:t xml:space="preserve"> Genero, Sistema </w:t>
      </w:r>
      <w:r w:rsidR="00C810B0" w:rsidRPr="005F28DB">
        <w:rPr>
          <w:rFonts w:ascii="Times New Roman" w:hAnsi="Times New Roman" w:cs="Times New Roman"/>
          <w:sz w:val="24"/>
          <w:szCs w:val="24"/>
        </w:rPr>
        <w:t>d</w:t>
      </w:r>
      <w:r w:rsidRPr="005F28DB">
        <w:rPr>
          <w:rFonts w:ascii="Times New Roman" w:hAnsi="Times New Roman" w:cs="Times New Roman"/>
          <w:sz w:val="24"/>
          <w:szCs w:val="24"/>
        </w:rPr>
        <w:t>e Emergencias 911, y  Ministerio de Justicia.</w:t>
      </w:r>
      <w:r w:rsidR="00C810B0" w:rsidRPr="005F28DB">
        <w:rPr>
          <w:rFonts w:ascii="Times New Roman" w:hAnsi="Times New Roman" w:cs="Times New Roman"/>
          <w:sz w:val="24"/>
          <w:szCs w:val="24"/>
        </w:rPr>
        <w:t xml:space="preserve"> </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881D2D" w:rsidRPr="005F28DB" w:rsidRDefault="00C810B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w:t>
      </w:r>
      <w:r w:rsidR="00961A4D" w:rsidRPr="005F28DB">
        <w:rPr>
          <w:rFonts w:ascii="Times New Roman" w:hAnsi="Times New Roman" w:cs="Times New Roman"/>
          <w:sz w:val="24"/>
          <w:szCs w:val="24"/>
        </w:rPr>
        <w:t xml:space="preserve"> Sistema s</w:t>
      </w:r>
      <w:r w:rsidRPr="005F28DB">
        <w:rPr>
          <w:rFonts w:ascii="Times New Roman" w:hAnsi="Times New Roman" w:cs="Times New Roman"/>
          <w:sz w:val="24"/>
          <w:szCs w:val="24"/>
        </w:rPr>
        <w:t xml:space="preserve">e ha creado para </w:t>
      </w:r>
      <w:r w:rsidR="00961A4D" w:rsidRPr="005F28DB">
        <w:rPr>
          <w:rFonts w:ascii="Times New Roman" w:hAnsi="Times New Roman" w:cs="Times New Roman"/>
          <w:sz w:val="24"/>
          <w:szCs w:val="24"/>
        </w:rPr>
        <w:t xml:space="preserve"> “definir, construir, mantener, enriquecer y dar seguimiento a un sistema de información a partir de la homologación de registros y la construcción de indicadores claves y consensuados que permita mostrar la dimensión de la violencia de género y la respuesta </w:t>
      </w:r>
      <w:r w:rsidR="0086786C" w:rsidRPr="005F28DB">
        <w:rPr>
          <w:rFonts w:ascii="Times New Roman" w:hAnsi="Times New Roman" w:cs="Times New Roman"/>
          <w:sz w:val="24"/>
          <w:szCs w:val="24"/>
        </w:rPr>
        <w:t xml:space="preserve">institucional a la misma”. El </w:t>
      </w:r>
      <w:r w:rsidR="00961A4D" w:rsidRPr="005F28DB">
        <w:rPr>
          <w:rFonts w:ascii="Times New Roman" w:hAnsi="Times New Roman" w:cs="Times New Roman"/>
          <w:sz w:val="24"/>
          <w:szCs w:val="24"/>
        </w:rPr>
        <w:t xml:space="preserve"> Sistema</w:t>
      </w:r>
      <w:r w:rsidR="0086786C" w:rsidRPr="005F28DB">
        <w:rPr>
          <w:rFonts w:ascii="Times New Roman" w:hAnsi="Times New Roman" w:cs="Times New Roman"/>
          <w:sz w:val="24"/>
          <w:szCs w:val="24"/>
        </w:rPr>
        <w:t xml:space="preserve"> en mención </w:t>
      </w:r>
      <w:r w:rsidR="00961A4D" w:rsidRPr="005F28DB">
        <w:rPr>
          <w:rFonts w:ascii="Times New Roman" w:hAnsi="Times New Roman" w:cs="Times New Roman"/>
          <w:sz w:val="24"/>
          <w:szCs w:val="24"/>
        </w:rPr>
        <w:t xml:space="preserve"> cuenta con un Comité Técnico coordinado por el Instituto Nacional de las Mujeres quien además se encarga de la </w:t>
      </w:r>
      <w:r w:rsidR="00C95FC1" w:rsidRPr="005F28DB">
        <w:rPr>
          <w:rFonts w:ascii="Times New Roman" w:hAnsi="Times New Roman" w:cs="Times New Roman"/>
          <w:sz w:val="24"/>
          <w:szCs w:val="24"/>
        </w:rPr>
        <w:t>s</w:t>
      </w:r>
      <w:r w:rsidR="00961A4D" w:rsidRPr="005F28DB">
        <w:rPr>
          <w:rFonts w:ascii="Times New Roman" w:hAnsi="Times New Roman" w:cs="Times New Roman"/>
          <w:sz w:val="24"/>
          <w:szCs w:val="24"/>
        </w:rPr>
        <w:t>istematización y recolección de información para la construcción de indicadores. Dentro de las funciones de las instancias integrantes del sistema está la recolección de los datos que alimentan los 22 indicadores propuestos.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C810B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INAMU y el Poder Judicial mantienen un acuerdo para tener acceso periódico a las estadísticas oficiales a cargo de esta última instancia. Cada año el INAMU coordina con sub-comisión inter-institucional para la actualización del </w:t>
      </w:r>
      <w:r w:rsidR="00A176BB" w:rsidRPr="005F28DB">
        <w:rPr>
          <w:rFonts w:ascii="Times New Roman" w:hAnsi="Times New Roman" w:cs="Times New Roman"/>
          <w:sz w:val="24"/>
          <w:szCs w:val="24"/>
        </w:rPr>
        <w:t xml:space="preserve">Sistema Unificado. </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A176B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Con respecto a</w:t>
      </w:r>
      <w:r w:rsidR="00C810B0" w:rsidRPr="005F28DB">
        <w:rPr>
          <w:rFonts w:ascii="Times New Roman" w:hAnsi="Times New Roman" w:cs="Times New Roman"/>
          <w:sz w:val="24"/>
          <w:szCs w:val="24"/>
        </w:rPr>
        <w:t xml:space="preserve"> la disponibilidad de datos periódicos u otras fuentes de información sobre violencia e</w:t>
      </w:r>
      <w:r w:rsidRPr="005F28DB">
        <w:rPr>
          <w:rFonts w:ascii="Times New Roman" w:hAnsi="Times New Roman" w:cs="Times New Roman"/>
          <w:sz w:val="24"/>
          <w:szCs w:val="24"/>
        </w:rPr>
        <w:t>n sus diversas manifestaciones, c</w:t>
      </w:r>
      <w:r w:rsidR="00C810B0" w:rsidRPr="005F28DB">
        <w:rPr>
          <w:rFonts w:ascii="Times New Roman" w:hAnsi="Times New Roman" w:cs="Times New Roman"/>
          <w:sz w:val="24"/>
          <w:szCs w:val="24"/>
        </w:rPr>
        <w:t>ada año la Dirección de Vigilancia de la Salud recopila y publica e</w:t>
      </w:r>
      <w:r w:rsidR="0086786C" w:rsidRPr="005F28DB">
        <w:rPr>
          <w:rFonts w:ascii="Times New Roman" w:hAnsi="Times New Roman" w:cs="Times New Roman"/>
          <w:sz w:val="24"/>
          <w:szCs w:val="24"/>
        </w:rPr>
        <w:t>n la Memoria del Ministerio de S</w:t>
      </w:r>
      <w:r w:rsidR="00C810B0" w:rsidRPr="005F28DB">
        <w:rPr>
          <w:rFonts w:ascii="Times New Roman" w:hAnsi="Times New Roman" w:cs="Times New Roman"/>
          <w:sz w:val="24"/>
          <w:szCs w:val="24"/>
        </w:rPr>
        <w:t xml:space="preserve">alud y en la página web </w:t>
      </w:r>
      <w:r w:rsidRPr="005F28DB">
        <w:rPr>
          <w:rFonts w:ascii="Times New Roman" w:hAnsi="Times New Roman" w:cs="Times New Roman"/>
          <w:sz w:val="24"/>
          <w:szCs w:val="24"/>
        </w:rPr>
        <w:t xml:space="preserve">la </w:t>
      </w:r>
      <w:r w:rsidR="00C810B0" w:rsidRPr="005F28DB">
        <w:rPr>
          <w:rFonts w:ascii="Times New Roman" w:hAnsi="Times New Roman" w:cs="Times New Roman"/>
          <w:sz w:val="24"/>
          <w:szCs w:val="24"/>
        </w:rPr>
        <w:t>información.</w:t>
      </w:r>
      <w:r w:rsidR="00D93069" w:rsidRPr="005F28DB">
        <w:rPr>
          <w:rFonts w:ascii="Times New Roman" w:hAnsi="Times New Roman" w:cs="Times New Roman"/>
          <w:sz w:val="24"/>
          <w:szCs w:val="24"/>
        </w:rPr>
        <w:t xml:space="preserve"> De igual forma, </w:t>
      </w:r>
      <w:r w:rsidR="00C810B0" w:rsidRPr="005F28DB">
        <w:rPr>
          <w:rFonts w:ascii="Times New Roman" w:hAnsi="Times New Roman" w:cs="Times New Roman"/>
          <w:sz w:val="24"/>
          <w:szCs w:val="24"/>
        </w:rPr>
        <w:t>cada dos año</w:t>
      </w:r>
      <w:r w:rsidRPr="005F28DB">
        <w:rPr>
          <w:rFonts w:ascii="Times New Roman" w:hAnsi="Times New Roman" w:cs="Times New Roman"/>
          <w:sz w:val="24"/>
          <w:szCs w:val="24"/>
        </w:rPr>
        <w:t>s el Grupo interinstitucional Gé</w:t>
      </w:r>
      <w:r w:rsidR="00C810B0" w:rsidRPr="005F28DB">
        <w:rPr>
          <w:rFonts w:ascii="Times New Roman" w:hAnsi="Times New Roman" w:cs="Times New Roman"/>
          <w:sz w:val="24"/>
          <w:szCs w:val="24"/>
        </w:rPr>
        <w:t>nero y Salud que coor</w:t>
      </w:r>
      <w:r w:rsidR="0086786C" w:rsidRPr="005F28DB">
        <w:rPr>
          <w:rFonts w:ascii="Times New Roman" w:hAnsi="Times New Roman" w:cs="Times New Roman"/>
          <w:sz w:val="24"/>
          <w:szCs w:val="24"/>
        </w:rPr>
        <w:t xml:space="preserve">dina el Ministerio de Salud  elabora </w:t>
      </w:r>
      <w:r w:rsidR="00C810B0" w:rsidRPr="005F28DB">
        <w:rPr>
          <w:rFonts w:ascii="Times New Roman" w:hAnsi="Times New Roman" w:cs="Times New Roman"/>
          <w:sz w:val="24"/>
          <w:szCs w:val="24"/>
        </w:rPr>
        <w:t xml:space="preserve"> una publicación sobre Indicadores</w:t>
      </w:r>
      <w:r w:rsidRPr="005F28DB">
        <w:rPr>
          <w:rFonts w:ascii="Times New Roman" w:hAnsi="Times New Roman" w:cs="Times New Roman"/>
          <w:sz w:val="24"/>
          <w:szCs w:val="24"/>
        </w:rPr>
        <w:t xml:space="preserve"> de Género y Salud que recopila </w:t>
      </w:r>
      <w:r w:rsidR="00C810B0" w:rsidRPr="005F28DB">
        <w:rPr>
          <w:rFonts w:ascii="Times New Roman" w:hAnsi="Times New Roman" w:cs="Times New Roman"/>
          <w:sz w:val="24"/>
          <w:szCs w:val="24"/>
        </w:rPr>
        <w:t xml:space="preserve">información relacionada con femicidios, </w:t>
      </w:r>
      <w:r w:rsidRPr="005F28DB">
        <w:rPr>
          <w:rFonts w:ascii="Times New Roman" w:hAnsi="Times New Roman" w:cs="Times New Roman"/>
          <w:sz w:val="24"/>
          <w:szCs w:val="24"/>
        </w:rPr>
        <w:t xml:space="preserve">casos </w:t>
      </w:r>
      <w:r w:rsidR="00C810B0" w:rsidRPr="005F28DB">
        <w:rPr>
          <w:rFonts w:ascii="Times New Roman" w:hAnsi="Times New Roman" w:cs="Times New Roman"/>
          <w:sz w:val="24"/>
          <w:szCs w:val="24"/>
        </w:rPr>
        <w:t>reportados por la bo</w:t>
      </w:r>
      <w:r w:rsidRPr="005F28DB">
        <w:rPr>
          <w:rFonts w:ascii="Times New Roman" w:hAnsi="Times New Roman" w:cs="Times New Roman"/>
          <w:sz w:val="24"/>
          <w:szCs w:val="24"/>
        </w:rPr>
        <w:t xml:space="preserve">leta de declaración obligatoria y </w:t>
      </w:r>
      <w:r w:rsidR="00C810B0" w:rsidRPr="005F28DB">
        <w:rPr>
          <w:rFonts w:ascii="Times New Roman" w:hAnsi="Times New Roman" w:cs="Times New Roman"/>
          <w:sz w:val="24"/>
          <w:szCs w:val="24"/>
        </w:rPr>
        <w:t xml:space="preserve"> medidas de protección interpuestas entre otras.</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A176BB"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Existen bases de datos </w:t>
      </w:r>
      <w:r w:rsidR="00C810B0" w:rsidRPr="005F28DB">
        <w:rPr>
          <w:rFonts w:ascii="Times New Roman" w:hAnsi="Times New Roman" w:cs="Times New Roman"/>
          <w:sz w:val="24"/>
          <w:szCs w:val="24"/>
        </w:rPr>
        <w:t xml:space="preserve">relacionadas con el delito de Femicidio </w:t>
      </w:r>
      <w:r w:rsidR="00720B64" w:rsidRPr="005F28DB">
        <w:rPr>
          <w:rFonts w:ascii="Times New Roman" w:hAnsi="Times New Roman" w:cs="Times New Roman"/>
          <w:sz w:val="24"/>
          <w:szCs w:val="24"/>
        </w:rPr>
        <w:t>(</w:t>
      </w:r>
      <w:r w:rsidR="00C810B0" w:rsidRPr="005F28DB">
        <w:rPr>
          <w:rFonts w:ascii="Times New Roman" w:hAnsi="Times New Roman" w:cs="Times New Roman"/>
          <w:sz w:val="24"/>
          <w:szCs w:val="24"/>
        </w:rPr>
        <w:t>artículo 21</w:t>
      </w:r>
      <w:r w:rsidR="0086786C" w:rsidRPr="005F28DB">
        <w:rPr>
          <w:rFonts w:ascii="Times New Roman" w:hAnsi="Times New Roman" w:cs="Times New Roman"/>
          <w:sz w:val="24"/>
          <w:szCs w:val="24"/>
        </w:rPr>
        <w:t>)</w:t>
      </w:r>
      <w:r w:rsidRPr="005F28DB">
        <w:rPr>
          <w:rFonts w:ascii="Times New Roman" w:hAnsi="Times New Roman" w:cs="Times New Roman"/>
          <w:sz w:val="24"/>
          <w:szCs w:val="24"/>
        </w:rPr>
        <w:t xml:space="preserve"> y otros homicidios de mujeres que se actualizan semestralmente. E</w:t>
      </w:r>
      <w:r w:rsidR="00C810B0" w:rsidRPr="005F28DB">
        <w:rPr>
          <w:rFonts w:ascii="Times New Roman" w:hAnsi="Times New Roman" w:cs="Times New Roman"/>
          <w:sz w:val="24"/>
          <w:szCs w:val="24"/>
        </w:rPr>
        <w:t>n el caso de los asuntos denunciados en materia de Violencia Doméstica y Ley de Penalización de Vio</w:t>
      </w:r>
      <w:r w:rsidR="00720B64" w:rsidRPr="005F28DB">
        <w:rPr>
          <w:rFonts w:ascii="Times New Roman" w:hAnsi="Times New Roman" w:cs="Times New Roman"/>
          <w:sz w:val="24"/>
          <w:szCs w:val="24"/>
        </w:rPr>
        <w:t>lencia Contra la Mujer se realiza</w:t>
      </w:r>
      <w:r w:rsidR="00C810B0" w:rsidRPr="005F28DB">
        <w:rPr>
          <w:rFonts w:ascii="Times New Roman" w:hAnsi="Times New Roman" w:cs="Times New Roman"/>
          <w:sz w:val="24"/>
          <w:szCs w:val="24"/>
        </w:rPr>
        <w:t xml:space="preserve"> trimestralmente.</w:t>
      </w:r>
    </w:p>
    <w:p w:rsidR="00881D2D" w:rsidRPr="005F28DB" w:rsidRDefault="00881D2D" w:rsidP="003D6EFF">
      <w:pPr>
        <w:pStyle w:val="ListParagraph"/>
        <w:spacing w:after="0" w:line="240" w:lineRule="auto"/>
        <w:rPr>
          <w:rFonts w:ascii="Times New Roman" w:hAnsi="Times New Roman" w:cs="Times New Roman"/>
          <w:sz w:val="24"/>
          <w:szCs w:val="24"/>
        </w:rPr>
      </w:pPr>
    </w:p>
    <w:p w:rsidR="00881D2D" w:rsidRPr="005F28DB" w:rsidRDefault="00C810B0"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lastRenderedPageBreak/>
        <w:t>La Sección de Estadística del Departamento de Planificación del Poder Judicial, es la rectora en materia estadística dentro del Poder Judicial,  tiene cuarenta años de compilar estadísticas asociadas con la gestión del Poder Judicial, no solo de su ámbito jurisdiccional, sino del ámbito auxiliar de justicia (Ministerio Público, Defensa Pública y el Orga</w:t>
      </w:r>
      <w:r w:rsidR="00A176BB" w:rsidRPr="005F28DB">
        <w:rPr>
          <w:rFonts w:ascii="Times New Roman" w:hAnsi="Times New Roman" w:cs="Times New Roman"/>
          <w:sz w:val="24"/>
          <w:szCs w:val="24"/>
        </w:rPr>
        <w:t xml:space="preserve">nismo de Investigación Judicial) </w:t>
      </w:r>
      <w:r w:rsidRPr="005F28DB">
        <w:rPr>
          <w:rFonts w:ascii="Times New Roman" w:hAnsi="Times New Roman" w:cs="Times New Roman"/>
          <w:sz w:val="24"/>
          <w:szCs w:val="24"/>
        </w:rPr>
        <w:t xml:space="preserve"> Esta oficina forma parte del Sistema Estadístico Nacional que coordina el Instituto Nacional de Estadística y Censos de Costa Rica, </w:t>
      </w:r>
      <w:r w:rsidR="00A176BB" w:rsidRPr="005F28DB">
        <w:rPr>
          <w:rFonts w:ascii="Times New Roman" w:hAnsi="Times New Roman" w:cs="Times New Roman"/>
          <w:sz w:val="24"/>
          <w:szCs w:val="24"/>
        </w:rPr>
        <w:t xml:space="preserve">y </w:t>
      </w:r>
      <w:r w:rsidRPr="005F28DB">
        <w:rPr>
          <w:rFonts w:ascii="Times New Roman" w:hAnsi="Times New Roman" w:cs="Times New Roman"/>
          <w:sz w:val="24"/>
          <w:szCs w:val="24"/>
        </w:rPr>
        <w:t>es la oficina encargada de brindar los datos oficiales en torno a la gestión judicial a los diferentes organismos nacionales e internacionales.</w:t>
      </w:r>
    </w:p>
    <w:p w:rsidR="00881D2D" w:rsidRPr="005F28DB" w:rsidRDefault="00881D2D" w:rsidP="003D6EFF">
      <w:pPr>
        <w:pStyle w:val="ListParagraph"/>
        <w:spacing w:after="0" w:line="240" w:lineRule="auto"/>
        <w:rPr>
          <w:rFonts w:ascii="Times New Roman" w:hAnsi="Times New Roman" w:cs="Times New Roman"/>
          <w:sz w:val="24"/>
          <w:szCs w:val="24"/>
        </w:rPr>
      </w:pPr>
    </w:p>
    <w:p w:rsidR="00D93069" w:rsidRPr="005F28DB" w:rsidRDefault="00720B64"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el</w:t>
      </w:r>
      <w:r w:rsidR="00C810B0" w:rsidRPr="005F28DB">
        <w:rPr>
          <w:rFonts w:ascii="Times New Roman" w:hAnsi="Times New Roman" w:cs="Times New Roman"/>
          <w:sz w:val="24"/>
          <w:szCs w:val="24"/>
        </w:rPr>
        <w:t xml:space="preserve"> Ministerio de </w:t>
      </w:r>
      <w:r w:rsidRPr="005F28DB">
        <w:rPr>
          <w:rFonts w:ascii="Times New Roman" w:hAnsi="Times New Roman" w:cs="Times New Roman"/>
          <w:sz w:val="24"/>
          <w:szCs w:val="24"/>
        </w:rPr>
        <w:t>Seguridad Pública también  funciona  una oficina</w:t>
      </w:r>
      <w:r w:rsidR="00C810B0" w:rsidRPr="005F28DB">
        <w:rPr>
          <w:rFonts w:ascii="Times New Roman" w:hAnsi="Times New Roman" w:cs="Times New Roman"/>
          <w:sz w:val="24"/>
          <w:szCs w:val="24"/>
        </w:rPr>
        <w:t xml:space="preserve"> encargada de generar estadísticas s</w:t>
      </w:r>
      <w:r w:rsidR="00A176BB" w:rsidRPr="005F28DB">
        <w:rPr>
          <w:rFonts w:ascii="Times New Roman" w:hAnsi="Times New Roman" w:cs="Times New Roman"/>
          <w:sz w:val="24"/>
          <w:szCs w:val="24"/>
        </w:rPr>
        <w:t>obre situaciones atendidas por violencia contra las m</w:t>
      </w:r>
      <w:r w:rsidR="00C810B0" w:rsidRPr="005F28DB">
        <w:rPr>
          <w:rFonts w:ascii="Times New Roman" w:hAnsi="Times New Roman" w:cs="Times New Roman"/>
          <w:sz w:val="24"/>
          <w:szCs w:val="24"/>
        </w:rPr>
        <w:t>ujeres</w:t>
      </w:r>
      <w:r w:rsidR="00A176BB" w:rsidRPr="005F28DB">
        <w:rPr>
          <w:rFonts w:ascii="Times New Roman" w:hAnsi="Times New Roman" w:cs="Times New Roman"/>
          <w:sz w:val="24"/>
          <w:szCs w:val="24"/>
        </w:rPr>
        <w:t xml:space="preserve">. </w:t>
      </w:r>
    </w:p>
    <w:p w:rsidR="00D93069" w:rsidRPr="005F28DB" w:rsidRDefault="00D93069" w:rsidP="003D6EFF">
      <w:pPr>
        <w:pStyle w:val="ListParagraph"/>
        <w:spacing w:after="0" w:line="240" w:lineRule="auto"/>
        <w:rPr>
          <w:rFonts w:ascii="Times New Roman" w:hAnsi="Times New Roman" w:cs="Times New Roman"/>
          <w:sz w:val="24"/>
          <w:szCs w:val="24"/>
        </w:rPr>
      </w:pPr>
    </w:p>
    <w:p w:rsidR="00C810B0" w:rsidRPr="005F28DB" w:rsidRDefault="00D93069"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El </w:t>
      </w:r>
      <w:r w:rsidR="00C810B0" w:rsidRPr="005F28DB">
        <w:rPr>
          <w:rFonts w:ascii="Times New Roman" w:hAnsi="Times New Roman" w:cs="Times New Roman"/>
          <w:sz w:val="24"/>
          <w:szCs w:val="24"/>
        </w:rPr>
        <w:t>INAMU dispone de un Sistema de Gestión de Calidad que aporta estadísticas sobre atención a usuarias de sus servicios.</w:t>
      </w:r>
    </w:p>
    <w:p w:rsidR="00A176BB" w:rsidRPr="005F28DB" w:rsidRDefault="00A176BB" w:rsidP="00A176BB">
      <w:pPr>
        <w:spacing w:after="0" w:line="240" w:lineRule="auto"/>
        <w:jc w:val="both"/>
        <w:rPr>
          <w:rFonts w:ascii="Times New Roman" w:hAnsi="Times New Roman" w:cs="Times New Roman"/>
          <w:sz w:val="24"/>
          <w:szCs w:val="24"/>
        </w:rPr>
      </w:pPr>
    </w:p>
    <w:p w:rsidR="00C95FC1" w:rsidRPr="005F28DB" w:rsidRDefault="00C95FC1" w:rsidP="003D6EFF">
      <w:pPr>
        <w:spacing w:after="0" w:line="240" w:lineRule="auto"/>
        <w:jc w:val="both"/>
        <w:rPr>
          <w:rFonts w:ascii="Times New Roman" w:hAnsi="Times New Roman" w:cs="Times New Roman"/>
          <w:b/>
          <w:sz w:val="24"/>
          <w:szCs w:val="24"/>
        </w:rPr>
      </w:pPr>
      <w:r w:rsidRPr="005F28DB">
        <w:rPr>
          <w:rFonts w:ascii="Times New Roman" w:hAnsi="Times New Roman" w:cs="Times New Roman"/>
          <w:b/>
          <w:sz w:val="24"/>
          <w:szCs w:val="24"/>
        </w:rPr>
        <w:t>Progreso en cuanto a capacidades estatales, contexto financiero básico, compromisos presupuestarios, información estadística.</w:t>
      </w:r>
    </w:p>
    <w:p w:rsidR="00A176BB" w:rsidRPr="005F28DB" w:rsidRDefault="00A176BB" w:rsidP="003D6EFF">
      <w:pPr>
        <w:spacing w:after="0" w:line="240" w:lineRule="auto"/>
        <w:jc w:val="both"/>
        <w:rPr>
          <w:rFonts w:ascii="Times New Roman" w:hAnsi="Times New Roman" w:cs="Times New Roman"/>
          <w:b/>
          <w:sz w:val="24"/>
          <w:szCs w:val="24"/>
        </w:rPr>
      </w:pPr>
    </w:p>
    <w:p w:rsidR="002727D8" w:rsidRPr="005F28DB" w:rsidRDefault="002727D8"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Aún </w:t>
      </w:r>
      <w:r w:rsidR="00A176BB" w:rsidRPr="005F28DB">
        <w:rPr>
          <w:rFonts w:ascii="Times New Roman" w:hAnsi="Times New Roman" w:cs="Times New Roman"/>
          <w:sz w:val="24"/>
          <w:szCs w:val="24"/>
        </w:rPr>
        <w:t xml:space="preserve">con los avances en este sentido, </w:t>
      </w:r>
      <w:r w:rsidRPr="005F28DB">
        <w:rPr>
          <w:rFonts w:ascii="Times New Roman" w:hAnsi="Times New Roman" w:cs="Times New Roman"/>
          <w:sz w:val="24"/>
          <w:szCs w:val="24"/>
        </w:rPr>
        <w:t>en el país no hay normativa vinculante que contempla la obligación del Estado de realizar encuestas periódicas sobre diversas manifestaciones de violencia contra las niñas y adolescentes, mujeres</w:t>
      </w:r>
      <w:r w:rsidR="00A176BB" w:rsidRPr="005F28DB">
        <w:rPr>
          <w:rFonts w:ascii="Times New Roman" w:hAnsi="Times New Roman" w:cs="Times New Roman"/>
          <w:sz w:val="24"/>
          <w:szCs w:val="24"/>
        </w:rPr>
        <w:t xml:space="preserve"> adultas y adultas mayores, q</w:t>
      </w:r>
      <w:r w:rsidRPr="005F28DB">
        <w:rPr>
          <w:rFonts w:ascii="Times New Roman" w:hAnsi="Times New Roman" w:cs="Times New Roman"/>
          <w:sz w:val="24"/>
          <w:szCs w:val="24"/>
        </w:rPr>
        <w:t xml:space="preserve">ue consideren tanto el ámbito privado como el público como escenario de ocurrencia de la violencia. </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3A73E9" w:rsidRPr="005F28DB" w:rsidRDefault="00720B64"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Es oportuno hacer </w:t>
      </w:r>
      <w:r w:rsidR="003A73E9" w:rsidRPr="005F28DB">
        <w:rPr>
          <w:rFonts w:ascii="Times New Roman" w:hAnsi="Times New Roman" w:cs="Times New Roman"/>
          <w:sz w:val="24"/>
          <w:szCs w:val="24"/>
        </w:rPr>
        <w:t xml:space="preserve"> más eficiente los mecanismos para el acceso de información estadística actualizada (</w:t>
      </w:r>
      <w:r w:rsidR="002727D8" w:rsidRPr="005F28DB">
        <w:rPr>
          <w:rFonts w:ascii="Times New Roman" w:hAnsi="Times New Roman" w:cs="Times New Roman"/>
          <w:sz w:val="24"/>
          <w:szCs w:val="24"/>
        </w:rPr>
        <w:t>accesible y oportuna</w:t>
      </w:r>
      <w:r w:rsidR="003A73E9" w:rsidRPr="005F28DB">
        <w:rPr>
          <w:rFonts w:ascii="Times New Roman" w:hAnsi="Times New Roman" w:cs="Times New Roman"/>
          <w:sz w:val="24"/>
          <w:szCs w:val="24"/>
        </w:rPr>
        <w:t>),</w:t>
      </w:r>
      <w:r w:rsidRPr="005F28DB">
        <w:rPr>
          <w:rFonts w:ascii="Times New Roman" w:hAnsi="Times New Roman" w:cs="Times New Roman"/>
          <w:sz w:val="24"/>
          <w:szCs w:val="24"/>
        </w:rPr>
        <w:t xml:space="preserve">  y contar </w:t>
      </w:r>
      <w:r w:rsidR="003A73E9" w:rsidRPr="005F28DB">
        <w:rPr>
          <w:rFonts w:ascii="Times New Roman" w:hAnsi="Times New Roman" w:cs="Times New Roman"/>
          <w:sz w:val="24"/>
          <w:szCs w:val="24"/>
        </w:rPr>
        <w:t xml:space="preserve"> </w:t>
      </w:r>
      <w:r w:rsidR="00A176BB" w:rsidRPr="005F28DB">
        <w:rPr>
          <w:rFonts w:ascii="Times New Roman" w:hAnsi="Times New Roman" w:cs="Times New Roman"/>
          <w:sz w:val="24"/>
          <w:szCs w:val="24"/>
        </w:rPr>
        <w:t xml:space="preserve">con </w:t>
      </w:r>
      <w:r w:rsidR="003A73E9" w:rsidRPr="005F28DB">
        <w:rPr>
          <w:rFonts w:ascii="Times New Roman" w:hAnsi="Times New Roman" w:cs="Times New Roman"/>
          <w:sz w:val="24"/>
          <w:szCs w:val="24"/>
        </w:rPr>
        <w:t xml:space="preserve">mecanismos de divulgación masiva de las estadísticas nacionales sobre violencia contra la </w:t>
      </w:r>
      <w:r w:rsidR="002727D8" w:rsidRPr="005F28DB">
        <w:rPr>
          <w:rFonts w:ascii="Times New Roman" w:hAnsi="Times New Roman" w:cs="Times New Roman"/>
          <w:sz w:val="24"/>
          <w:szCs w:val="24"/>
        </w:rPr>
        <w:t>mujer.</w:t>
      </w:r>
      <w:r w:rsidR="003A73E9" w:rsidRPr="005F28DB">
        <w:rPr>
          <w:rFonts w:ascii="Times New Roman" w:hAnsi="Times New Roman" w:cs="Times New Roman"/>
          <w:sz w:val="24"/>
          <w:szCs w:val="24"/>
        </w:rPr>
        <w:t xml:space="preserve"> </w:t>
      </w:r>
      <w:r w:rsidRPr="005F28DB">
        <w:rPr>
          <w:rFonts w:ascii="Times New Roman" w:hAnsi="Times New Roman" w:cs="Times New Roman"/>
          <w:sz w:val="24"/>
          <w:szCs w:val="24"/>
        </w:rPr>
        <w:t xml:space="preserve">  </w:t>
      </w:r>
      <w:r w:rsidR="00A176BB" w:rsidRPr="005F28DB">
        <w:rPr>
          <w:rFonts w:ascii="Times New Roman" w:hAnsi="Times New Roman" w:cs="Times New Roman"/>
          <w:sz w:val="24"/>
          <w:szCs w:val="24"/>
        </w:rPr>
        <w:t xml:space="preserve">No hay una legislación que contemple </w:t>
      </w:r>
      <w:r w:rsidR="002727D8" w:rsidRPr="005F28DB">
        <w:rPr>
          <w:rFonts w:ascii="Times New Roman" w:hAnsi="Times New Roman" w:cs="Times New Roman"/>
          <w:sz w:val="24"/>
          <w:szCs w:val="24"/>
        </w:rPr>
        <w:t xml:space="preserve">el acceso público a la información relevada (en base a encuestas y a registros administrativos) ni </w:t>
      </w:r>
      <w:r w:rsidR="00A176BB" w:rsidRPr="005F28DB">
        <w:rPr>
          <w:rFonts w:ascii="Times New Roman" w:hAnsi="Times New Roman" w:cs="Times New Roman"/>
          <w:sz w:val="24"/>
          <w:szCs w:val="24"/>
        </w:rPr>
        <w:t xml:space="preserve">la </w:t>
      </w:r>
      <w:r w:rsidR="002727D8" w:rsidRPr="005F28DB">
        <w:rPr>
          <w:rFonts w:ascii="Times New Roman" w:hAnsi="Times New Roman" w:cs="Times New Roman"/>
          <w:sz w:val="24"/>
          <w:szCs w:val="24"/>
        </w:rPr>
        <w:t>obligación de hacer publicación periódica de las estadísticas elaboradas y estudios realizados.</w:t>
      </w:r>
    </w:p>
    <w:p w:rsidR="00881D2D" w:rsidRPr="005F28DB" w:rsidRDefault="00881D2D" w:rsidP="003D6EFF">
      <w:pPr>
        <w:pStyle w:val="ListParagraph"/>
        <w:spacing w:after="0" w:line="240" w:lineRule="auto"/>
        <w:jc w:val="both"/>
        <w:rPr>
          <w:rFonts w:ascii="Times New Roman" w:hAnsi="Times New Roman" w:cs="Times New Roman"/>
          <w:sz w:val="24"/>
          <w:szCs w:val="24"/>
        </w:rPr>
      </w:pPr>
    </w:p>
    <w:p w:rsidR="00881D2D" w:rsidRPr="005F28DB" w:rsidRDefault="001913ED"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No se dispone de información sobre </w:t>
      </w:r>
      <w:r w:rsidR="00A176BB" w:rsidRPr="005F28DB">
        <w:rPr>
          <w:rFonts w:ascii="Times New Roman" w:hAnsi="Times New Roman" w:cs="Times New Roman"/>
          <w:sz w:val="24"/>
          <w:szCs w:val="24"/>
        </w:rPr>
        <w:t xml:space="preserve">una </w:t>
      </w:r>
      <w:r w:rsidRPr="005F28DB">
        <w:rPr>
          <w:rFonts w:ascii="Times New Roman" w:hAnsi="Times New Roman" w:cs="Times New Roman"/>
          <w:sz w:val="24"/>
          <w:szCs w:val="24"/>
        </w:rPr>
        <w:t xml:space="preserve">ley nacional de presupuesto con gastos etiquetados para el cumplimiento de las obligaciones previstas para asegurar </w:t>
      </w:r>
      <w:r w:rsidR="00A176BB" w:rsidRPr="005F28DB">
        <w:rPr>
          <w:rFonts w:ascii="Times New Roman" w:hAnsi="Times New Roman" w:cs="Times New Roman"/>
          <w:sz w:val="24"/>
          <w:szCs w:val="24"/>
        </w:rPr>
        <w:t xml:space="preserve">la </w:t>
      </w:r>
      <w:r w:rsidRPr="005F28DB">
        <w:rPr>
          <w:rFonts w:ascii="Times New Roman" w:hAnsi="Times New Roman" w:cs="Times New Roman"/>
          <w:sz w:val="24"/>
          <w:szCs w:val="24"/>
        </w:rPr>
        <w:t>adopción de las medidas previstas en</w:t>
      </w:r>
      <w:r w:rsidR="00A176BB" w:rsidRPr="005F28DB">
        <w:rPr>
          <w:rFonts w:ascii="Times New Roman" w:hAnsi="Times New Roman" w:cs="Times New Roman"/>
          <w:sz w:val="24"/>
          <w:szCs w:val="24"/>
        </w:rPr>
        <w:t xml:space="preserve"> la Convención de Belém do Pará. </w:t>
      </w:r>
    </w:p>
    <w:p w:rsidR="00881D2D" w:rsidRPr="005F28DB" w:rsidRDefault="00881D2D" w:rsidP="003D6EFF">
      <w:pPr>
        <w:pStyle w:val="ListParagraph"/>
        <w:spacing w:after="0" w:line="240" w:lineRule="auto"/>
        <w:rPr>
          <w:rFonts w:ascii="Times New Roman" w:hAnsi="Times New Roman" w:cs="Times New Roman"/>
          <w:sz w:val="24"/>
          <w:szCs w:val="24"/>
        </w:rPr>
      </w:pPr>
    </w:p>
    <w:p w:rsidR="00E227E5" w:rsidRPr="005F28DB" w:rsidRDefault="00E227E5"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Se mantiene vigente la recomendación de fortalecer el Sistema Unificado de Medición Estadística de la Violencia de Género –SUMEVIG- a fin de impulsar estudios y encuestas sobre el problema de la violencia contra las mujeres.</w:t>
      </w:r>
    </w:p>
    <w:p w:rsidR="001D6029" w:rsidRPr="005F28DB" w:rsidRDefault="001D6029" w:rsidP="003D6EFF">
      <w:pPr>
        <w:spacing w:after="0" w:line="240" w:lineRule="auto"/>
        <w:jc w:val="both"/>
        <w:rPr>
          <w:rFonts w:ascii="Times New Roman" w:hAnsi="Times New Roman" w:cs="Times New Roman"/>
          <w:sz w:val="24"/>
          <w:szCs w:val="24"/>
        </w:rPr>
      </w:pPr>
    </w:p>
    <w:p w:rsidR="001D6029" w:rsidRPr="005F28DB" w:rsidRDefault="001D6029" w:rsidP="001D6029">
      <w:pPr>
        <w:numPr>
          <w:ilvl w:val="0"/>
          <w:numId w:val="9"/>
        </w:numPr>
        <w:spacing w:after="0" w:line="240" w:lineRule="auto"/>
        <w:jc w:val="both"/>
        <w:rPr>
          <w:rFonts w:ascii="Times New Roman" w:hAnsi="Times New Roman" w:cs="Times New Roman"/>
          <w:b/>
          <w:bCs/>
          <w:color w:val="000000"/>
          <w:sz w:val="24"/>
          <w:szCs w:val="24"/>
        </w:rPr>
      </w:pPr>
      <w:r w:rsidRPr="005F28DB">
        <w:rPr>
          <w:rFonts w:ascii="Times New Roman" w:hAnsi="Times New Roman" w:cs="Times New Roman"/>
          <w:b/>
          <w:sz w:val="24"/>
          <w:szCs w:val="24"/>
        </w:rPr>
        <w:t xml:space="preserve">DIVERSIDAD – Art. 9 </w:t>
      </w:r>
      <w:r w:rsidRPr="005F28DB">
        <w:rPr>
          <w:rFonts w:ascii="Times New Roman" w:hAnsi="Times New Roman" w:cs="Times New Roman"/>
          <w:b/>
          <w:bCs/>
          <w:color w:val="000000"/>
          <w:sz w:val="24"/>
          <w:szCs w:val="24"/>
        </w:rPr>
        <w:t>de la Convención de Belém do Pará</w:t>
      </w:r>
    </w:p>
    <w:p w:rsidR="001D6029" w:rsidRPr="005F28DB" w:rsidRDefault="001D6029" w:rsidP="001D6029">
      <w:pPr>
        <w:spacing w:after="0" w:line="240" w:lineRule="auto"/>
        <w:ind w:left="1080"/>
        <w:jc w:val="both"/>
        <w:rPr>
          <w:rFonts w:ascii="Times New Roman" w:hAnsi="Times New Roman" w:cs="Times New Roman"/>
          <w:b/>
          <w:bCs/>
          <w:color w:val="000000"/>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Para la adopción de las medidas a que se refiere este capítulo, los Estados Partes tendrán especialmente en cuenta la situación de vulnerabilidad a la violencia que pueda sufrir la mujer en razón, entre otras, de su raza o de su condición étnica, de </w:t>
      </w:r>
      <w:r w:rsidRPr="005F28DB">
        <w:rPr>
          <w:rFonts w:ascii="Times New Roman" w:hAnsi="Times New Roman" w:cs="Times New Roman"/>
          <w:sz w:val="24"/>
          <w:szCs w:val="24"/>
        </w:rPr>
        <w:lastRenderedPageBreak/>
        <w:t>migrante, refugiada o desplazada. En igual sentido, se considerará a la mujer que es objeto de violencia cuanto está embarazada, es discapacitada, menor de edad, anciana, o está en situación socioeconómica desfavorable o afectada por situaciones de conflictos armado o de privación de su libertad.</w:t>
      </w:r>
    </w:p>
    <w:p w:rsidR="001D6029" w:rsidRPr="005F28DB" w:rsidRDefault="001D6029" w:rsidP="001D6029">
      <w:pPr>
        <w:spacing w:after="0" w:line="240" w:lineRule="auto"/>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informe en cuestión indica que el enfoque de diversidad étnica, rural y afrodescendiente no está claramente delineado en la política actual de prevención y atención de la violencia contras las mujeres (PLANOVI-MUJER).</w:t>
      </w:r>
    </w:p>
    <w:p w:rsidR="001D6029" w:rsidRPr="005F28DB" w:rsidRDefault="001D6029" w:rsidP="001D6029">
      <w:pPr>
        <w:pStyle w:val="ListParagraph"/>
        <w:spacing w:after="0" w:line="240" w:lineRule="auto"/>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Las leyes específicas vigentes establecen la garantía de una vida libre de violencia para las niñas y adolescentes, con diversa orientación sexual, pero no se cuenta con información sobre programas y proyectos específicos. Las referencias sobre  mujeres adultas, adultas mayores migrantes, refugiadas, desplazadas o privadas de su libertad son:</w:t>
      </w:r>
    </w:p>
    <w:p w:rsidR="001D6029" w:rsidRPr="005F28DB" w:rsidRDefault="001D6029" w:rsidP="001D6029">
      <w:pPr>
        <w:pStyle w:val="ListParagraph"/>
        <w:numPr>
          <w:ilvl w:val="0"/>
          <w:numId w:val="7"/>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Ley Indígena de Costa Rica N°6172, Ley de Creación de la Comisión Nacional de asuntos Indígenas N°5251, la Ley que aprueba el convenio sobre pueblos indígenas y tribales en países independientes N°7316, y el Convenio de Fondo para desarrollo de pueblos indígenas de América N°7549.</w:t>
      </w:r>
    </w:p>
    <w:p w:rsidR="001D6029" w:rsidRPr="005F28DB" w:rsidRDefault="001D6029" w:rsidP="001D6029">
      <w:pPr>
        <w:pStyle w:val="ListParagraph"/>
        <w:numPr>
          <w:ilvl w:val="0"/>
          <w:numId w:val="7"/>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Plan Nacional de Salud, la Política de Salud Mental, el Plan de Salud adolescente, la Política Nacional de Sexualidad y el Plan de VIH  y SIDA, que cuentan con  orientación y enfoque de la diversidad y género, aunque tampoco dispone de información sobre programas y proyectos.</w:t>
      </w:r>
    </w:p>
    <w:p w:rsidR="001D6029" w:rsidRPr="005F28DB" w:rsidRDefault="001D6029" w:rsidP="001D6029">
      <w:pPr>
        <w:pStyle w:val="ListParagraph"/>
        <w:spacing w:after="0" w:line="240" w:lineRule="auto"/>
        <w:jc w:val="both"/>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los siguientes  instrumentos se hace referencia al tema de la prevención y atención de la violencia, y  que en principio deben  considerar en su  acciones  los diversos segmentos de la población de mujeres son:</w:t>
      </w:r>
    </w:p>
    <w:p w:rsidR="001D6029" w:rsidRPr="005F28DB" w:rsidRDefault="001D6029" w:rsidP="001D6029">
      <w:pPr>
        <w:pStyle w:val="ListParagraph"/>
        <w:numPr>
          <w:ilvl w:val="0"/>
          <w:numId w:val="6"/>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Código de Niñez y Adolescencia.</w:t>
      </w:r>
    </w:p>
    <w:p w:rsidR="001D6029" w:rsidRPr="005F28DB" w:rsidRDefault="001D6029" w:rsidP="001D6029">
      <w:pPr>
        <w:pStyle w:val="ListParagraph"/>
        <w:numPr>
          <w:ilvl w:val="0"/>
          <w:numId w:val="6"/>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Ley integral para la persona adulta mayor (Ley 7935)</w:t>
      </w:r>
    </w:p>
    <w:p w:rsidR="001D6029" w:rsidRPr="005F28DB" w:rsidRDefault="001D6029" w:rsidP="001D6029">
      <w:pPr>
        <w:pStyle w:val="ListParagraph"/>
        <w:numPr>
          <w:ilvl w:val="0"/>
          <w:numId w:val="6"/>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Política Nacional de Envejecimiento y Vejez 2011-2021 (Contiene una línea estratégica de abandono, abuso y maltrato)</w:t>
      </w:r>
    </w:p>
    <w:p w:rsidR="001D6029" w:rsidRPr="005F28DB" w:rsidRDefault="001D6029" w:rsidP="001D6029">
      <w:pPr>
        <w:pStyle w:val="ListParagraph"/>
        <w:numPr>
          <w:ilvl w:val="0"/>
          <w:numId w:val="6"/>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Ley 5347 Creación del Consejo Nacional de Rehabilitación y Educación Especial (1973), Ley 7600 De Igualdad de Oportunidades para las personas con discapacidad en Costa Rica (1996) que reformó los códigos de comercio, penal, de procedimientos penales, civil y procesal civil y las leyes de educación, general de salud, migración y extranjería, pensiones alimentarias, Reglamento de la ley 7600. Además, Costa Rica firmó la Convención sobre los Derechos de las Personas con Discapacidad y está en trámite el proceso legislativo para su ratificación. Artículo 51 de la Constitución Política.</w:t>
      </w:r>
    </w:p>
    <w:p w:rsidR="001D6029" w:rsidRPr="005F28DB" w:rsidRDefault="001D6029" w:rsidP="001D6029">
      <w:pPr>
        <w:pStyle w:val="ListParagraph"/>
        <w:spacing w:after="0" w:line="240" w:lineRule="auto"/>
        <w:jc w:val="both"/>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Sobre procesos de elaboración de leyes o políticas nacionales de garantías de una vida libre de violencia que considere la diversidad étnica (indígenas, pueblos originarios, campesinos, rurales y afrodescendiente, situación de niñas y adolescentes, mujeres adultas y adultas mayores con discapacidad, en situación de migración, refugiadas, desplazadas, privadas de libertad, u opción sexual), el Estado informa que  se ha </w:t>
      </w:r>
      <w:r w:rsidRPr="005F28DB">
        <w:rPr>
          <w:rFonts w:ascii="Times New Roman" w:hAnsi="Times New Roman" w:cs="Times New Roman"/>
          <w:sz w:val="24"/>
          <w:szCs w:val="24"/>
        </w:rPr>
        <w:lastRenderedPageBreak/>
        <w:t>trabajado  un documento denominado “directrices para la Garantía del Derecho a la Salud</w:t>
      </w:r>
      <w:r w:rsidRPr="005F28DB">
        <w:rPr>
          <w:rFonts w:ascii="Times New Roman" w:hAnsi="Times New Roman" w:cs="Times New Roman"/>
          <w:b/>
          <w:sz w:val="24"/>
          <w:szCs w:val="24"/>
        </w:rPr>
        <w:t xml:space="preserve"> </w:t>
      </w:r>
      <w:r w:rsidRPr="005F28DB">
        <w:rPr>
          <w:rFonts w:ascii="Times New Roman" w:hAnsi="Times New Roman" w:cs="Times New Roman"/>
          <w:sz w:val="24"/>
          <w:szCs w:val="24"/>
        </w:rPr>
        <w:t xml:space="preserve">de las personas LGTBI” en el cual se incluyen acciones para la prevención y atención de la violencia intrafamiliar y sexual contra las personas LGTBI. </w:t>
      </w:r>
    </w:p>
    <w:p w:rsidR="001D6029" w:rsidRPr="005F28DB" w:rsidRDefault="001D6029" w:rsidP="001D6029">
      <w:pPr>
        <w:pStyle w:val="ListParagraph"/>
        <w:spacing w:after="0" w:line="240" w:lineRule="auto"/>
        <w:jc w:val="both"/>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Desde la Subcomisión de Pueblos Indígenas se coordinan los acompañamientos y peritajes en casos de delitos sexuales y violencia doméstica que afectas a personas indígenas.</w:t>
      </w:r>
    </w:p>
    <w:p w:rsidR="001D6029" w:rsidRPr="005F28DB" w:rsidRDefault="001D6029" w:rsidP="001D6029">
      <w:pPr>
        <w:pStyle w:val="ListParagraph"/>
        <w:rPr>
          <w:rFonts w:ascii="Times New Roman" w:hAnsi="Times New Roman" w:cs="Times New Roman"/>
          <w:sz w:val="24"/>
          <w:szCs w:val="24"/>
        </w:rPr>
      </w:pPr>
    </w:p>
    <w:p w:rsidR="001D6029" w:rsidRPr="005F28DB" w:rsidRDefault="001D6029" w:rsidP="001D6029">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En materia de formación, no se presentan registros sobre capacitaciones con enfoque de diversidad en la mayoría de los sectores</w:t>
      </w:r>
      <w:r w:rsidR="008378AA" w:rsidRPr="005F28DB">
        <w:rPr>
          <w:rFonts w:ascii="Times New Roman" w:hAnsi="Times New Roman" w:cs="Times New Roman"/>
          <w:sz w:val="24"/>
          <w:szCs w:val="24"/>
        </w:rPr>
        <w:t>, ni hay</w:t>
      </w:r>
      <w:r w:rsidRPr="005F28DB">
        <w:rPr>
          <w:rFonts w:ascii="Times New Roman" w:hAnsi="Times New Roman" w:cs="Times New Roman"/>
          <w:sz w:val="24"/>
          <w:szCs w:val="24"/>
        </w:rPr>
        <w:t xml:space="preserve"> evidencia de la existencia de protocolos específicos aplicables a la diversidad de población de interés.</w:t>
      </w:r>
    </w:p>
    <w:p w:rsidR="001D6029" w:rsidRPr="005F28DB" w:rsidRDefault="001D6029" w:rsidP="001D6029">
      <w:pPr>
        <w:pStyle w:val="ListParagraph"/>
        <w:spacing w:after="0" w:line="240" w:lineRule="auto"/>
        <w:rPr>
          <w:rFonts w:ascii="Times New Roman" w:hAnsi="Times New Roman" w:cs="Times New Roman"/>
          <w:sz w:val="24"/>
          <w:szCs w:val="24"/>
        </w:rPr>
      </w:pPr>
    </w:p>
    <w:p w:rsidR="008378AA" w:rsidRPr="005F28DB" w:rsidRDefault="008378AA" w:rsidP="008378AA">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 xml:space="preserve">De la misma forma  no se reporta información sobre incorporación por el movimiento de las mujeres indígenas, rurales, las organizaciones teniendo en cuenta en particular que trabajan con niñas y adolescentes, mujeres adultas y adultas mayores de diverso origen étnico, afrodescendientes, rurales, personas con discapacidad, con diferentes preferencias sexuales, por su identidad sexual, los migrantes, los refugiados, las personas desplazadas o privados de su libertad; en la definición y elaboración de las políticas públicas, planes y programas para erradicar la violencia.  </w:t>
      </w:r>
    </w:p>
    <w:p w:rsidR="008378AA" w:rsidRPr="005F28DB" w:rsidRDefault="008378AA" w:rsidP="008378AA">
      <w:pPr>
        <w:pStyle w:val="ListParagraph"/>
        <w:spacing w:after="0" w:line="240" w:lineRule="auto"/>
        <w:rPr>
          <w:rFonts w:ascii="Times New Roman" w:hAnsi="Times New Roman" w:cs="Times New Roman"/>
          <w:sz w:val="24"/>
          <w:szCs w:val="24"/>
        </w:rPr>
      </w:pPr>
    </w:p>
    <w:p w:rsidR="008378AA" w:rsidRPr="005F28DB" w:rsidRDefault="008378AA" w:rsidP="008378AA">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El avance en la disminución de la brecha de la desigualdad y la discriminación como otra expresión de la violencia contra la mujer solo podrá reducirse con el apoyo de los diversos sectores de la sociedad, pero sobre todo de las organizaciones de mujeres. Cobra relevancia el compromiso surgido de la  Declaración de Pachuca donde las delegadas titulares y alternas ante la comisión interamericana de mujeres (CIM) y las expertas del comité de expertas/os del mecanismo de seguimiento a la Convención De Belém Do Pará (MESECVI) de la Organización de los Estados Americanos (OEA), manifiestan  la intención de   “Trabajar con la sociedad civil en la tarea de evaluar el cumplimiento de la Convención de Belém do Para en relación a medios de comunicación, así como en la aplicación de sanciones a la publicidad y la cobertura mediática sexista”.</w:t>
      </w:r>
    </w:p>
    <w:p w:rsidR="008378AA" w:rsidRPr="005F28DB" w:rsidRDefault="008378AA" w:rsidP="001D6029">
      <w:pPr>
        <w:pStyle w:val="ListParagraph"/>
        <w:spacing w:after="0" w:line="240" w:lineRule="auto"/>
        <w:rPr>
          <w:rFonts w:ascii="Times New Roman" w:hAnsi="Times New Roman" w:cs="Times New Roman"/>
          <w:sz w:val="24"/>
          <w:szCs w:val="24"/>
        </w:rPr>
      </w:pPr>
    </w:p>
    <w:p w:rsidR="008378AA" w:rsidRPr="005F28DB" w:rsidRDefault="001D6029" w:rsidP="003D6EFF">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No se presenta  información  integrada  sobre tasa de violencia en mujeres que trabajan con remuneración, por tipo de violencia, por edad, etnia, país de</w:t>
      </w:r>
      <w:r w:rsidR="008378AA" w:rsidRPr="005F28DB">
        <w:rPr>
          <w:rFonts w:ascii="Times New Roman" w:hAnsi="Times New Roman" w:cs="Times New Roman"/>
          <w:sz w:val="24"/>
          <w:szCs w:val="24"/>
        </w:rPr>
        <w:t xml:space="preserve"> origen y nivel socioeconómico; t</w:t>
      </w:r>
      <w:r w:rsidRPr="005F28DB">
        <w:rPr>
          <w:rFonts w:ascii="Times New Roman" w:hAnsi="Times New Roman" w:cs="Times New Roman"/>
          <w:sz w:val="24"/>
          <w:szCs w:val="24"/>
        </w:rPr>
        <w:t>asa de violencia por nivel educativo, raza, etnia, país de</w:t>
      </w:r>
      <w:r w:rsidR="008378AA" w:rsidRPr="005F28DB">
        <w:rPr>
          <w:rFonts w:ascii="Times New Roman" w:hAnsi="Times New Roman" w:cs="Times New Roman"/>
          <w:sz w:val="24"/>
          <w:szCs w:val="24"/>
        </w:rPr>
        <w:t xml:space="preserve"> origen y nivel socioeconómico; t</w:t>
      </w:r>
      <w:r w:rsidRPr="005F28DB">
        <w:rPr>
          <w:rFonts w:ascii="Times New Roman" w:hAnsi="Times New Roman" w:cs="Times New Roman"/>
          <w:sz w:val="24"/>
          <w:szCs w:val="24"/>
        </w:rPr>
        <w:t>asa de violencia en mujeres embarazadas, por edad. El  Informe reporta que no se cuenta con información clasificada  siguiendo el mismo patrón para otros grupos de población de mujeres  por edad, región, discapacidad, condición migratoria, refugiada, o privadas de libertad.</w:t>
      </w:r>
    </w:p>
    <w:p w:rsidR="008378AA" w:rsidRPr="005F28DB" w:rsidRDefault="008378AA" w:rsidP="008378AA">
      <w:pPr>
        <w:spacing w:after="0" w:line="240" w:lineRule="auto"/>
        <w:rPr>
          <w:rFonts w:ascii="Times New Roman" w:hAnsi="Times New Roman" w:cs="Times New Roman"/>
          <w:sz w:val="24"/>
          <w:szCs w:val="24"/>
        </w:rPr>
      </w:pPr>
    </w:p>
    <w:p w:rsidR="008378AA" w:rsidRDefault="008378AA" w:rsidP="008378AA">
      <w:pPr>
        <w:pStyle w:val="ListParagraph"/>
        <w:numPr>
          <w:ilvl w:val="0"/>
          <w:numId w:val="10"/>
        </w:numPr>
        <w:spacing w:after="0" w:line="240" w:lineRule="auto"/>
        <w:jc w:val="both"/>
        <w:rPr>
          <w:rFonts w:ascii="Times New Roman" w:hAnsi="Times New Roman" w:cs="Times New Roman"/>
          <w:sz w:val="24"/>
          <w:szCs w:val="24"/>
        </w:rPr>
      </w:pPr>
      <w:r w:rsidRPr="005F28DB">
        <w:rPr>
          <w:rFonts w:ascii="Times New Roman" w:hAnsi="Times New Roman" w:cs="Times New Roman"/>
          <w:sz w:val="24"/>
          <w:szCs w:val="24"/>
        </w:rPr>
        <w:t>Dado que el sistema de indicadores es de reciente integración a los mecanismos de rendición de informes, se espera que en próximas entregas haya progresos significativos de cara a los compromisos adquiridos</w:t>
      </w:r>
      <w:r w:rsidR="001577A4">
        <w:rPr>
          <w:rFonts w:ascii="Times New Roman" w:hAnsi="Times New Roman" w:cs="Times New Roman"/>
          <w:sz w:val="24"/>
          <w:szCs w:val="24"/>
        </w:rPr>
        <w:t xml:space="preserve"> por el Estado de Costa Rica.</w:t>
      </w:r>
    </w:p>
    <w:p w:rsidR="001577A4" w:rsidRPr="001577A4" w:rsidRDefault="001577A4" w:rsidP="001577A4">
      <w:pPr>
        <w:pStyle w:val="ListParagraph"/>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bookmarkStart w:id="1" w:name="page1"/>
      <w:bookmarkEnd w:id="1"/>
      <w:r>
        <w:rPr>
          <w:rFonts w:ascii="Times New Roman" w:hAnsi="Times New Roman" w:cs="Times New Roman"/>
          <w:noProof/>
          <w:sz w:val="24"/>
          <w:szCs w:val="24"/>
          <w:lang w:val="en-US" w:eastAsia="en-US"/>
        </w:rPr>
        <w:lastRenderedPageBreak/>
        <w:drawing>
          <wp:anchor distT="0" distB="0" distL="114300" distR="114300" simplePos="0" relativeHeight="251665408" behindDoc="1" locked="0" layoutInCell="0" allowOverlap="1">
            <wp:simplePos x="0" y="0"/>
            <wp:positionH relativeFrom="page">
              <wp:posOffset>3371850</wp:posOffset>
            </wp:positionH>
            <wp:positionV relativeFrom="page">
              <wp:posOffset>899795</wp:posOffset>
            </wp:positionV>
            <wp:extent cx="1028700" cy="1114425"/>
            <wp:effectExtent l="1905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1028700" cy="1114425"/>
                    </a:xfrm>
                    <a:prstGeom prst="rect">
                      <a:avLst/>
                    </a:prstGeom>
                    <a:noFill/>
                  </pic:spPr>
                </pic:pic>
              </a:graphicData>
            </a:graphic>
          </wp:anchor>
        </w:drawing>
      </w: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0"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04" w:lineRule="exact"/>
        <w:jc w:val="center"/>
        <w:rPr>
          <w:rFonts w:ascii="Times New Roman" w:hAnsi="Times New Roman" w:cs="Times New Roman"/>
          <w:sz w:val="24"/>
          <w:szCs w:val="24"/>
        </w:rPr>
      </w:pPr>
    </w:p>
    <w:p w:rsidR="001577A4" w:rsidRPr="00E91CCE" w:rsidRDefault="001577A4" w:rsidP="001577A4">
      <w:pPr>
        <w:pStyle w:val="DefaultParagraphFont"/>
        <w:widowControl w:val="0"/>
        <w:autoSpaceDE w:val="0"/>
        <w:autoSpaceDN w:val="0"/>
        <w:adjustRightInd w:val="0"/>
        <w:spacing w:after="0" w:line="239" w:lineRule="auto"/>
        <w:jc w:val="center"/>
        <w:rPr>
          <w:rFonts w:ascii="Times New Roman" w:hAnsi="Times New Roman" w:cs="Times New Roman"/>
          <w:sz w:val="24"/>
          <w:szCs w:val="24"/>
          <w:lang w:val="es-ES"/>
        </w:rPr>
      </w:pPr>
      <w:r w:rsidRPr="00E91CCE">
        <w:rPr>
          <w:rFonts w:ascii="Times New Roman" w:hAnsi="Times New Roman" w:cs="Times New Roman"/>
          <w:b/>
          <w:bCs/>
          <w:sz w:val="24"/>
          <w:szCs w:val="24"/>
          <w:lang w:val="es-ES"/>
        </w:rPr>
        <w:t>REPÚBLICA DE COSTA RICA</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r>
        <w:rPr>
          <w:rFonts w:ascii="Times New Roman" w:hAnsi="Times New Roman" w:cs="Times New Roman"/>
          <w:noProof/>
          <w:sz w:val="24"/>
          <w:szCs w:val="24"/>
          <w:lang w:val="en-US" w:eastAsia="en-US"/>
        </w:rPr>
        <w:drawing>
          <wp:anchor distT="0" distB="0" distL="114300" distR="114300" simplePos="0" relativeHeight="251666432" behindDoc="1" locked="0" layoutInCell="0" allowOverlap="1">
            <wp:simplePos x="0" y="0"/>
            <wp:positionH relativeFrom="column">
              <wp:posOffset>73025</wp:posOffset>
            </wp:positionH>
            <wp:positionV relativeFrom="paragraph">
              <wp:posOffset>84455</wp:posOffset>
            </wp:positionV>
            <wp:extent cx="5560060" cy="1247775"/>
            <wp:effectExtent l="19050" t="0" r="254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560060" cy="1247775"/>
                    </a:xfrm>
                    <a:prstGeom prst="rect">
                      <a:avLst/>
                    </a:prstGeom>
                    <a:noFill/>
                  </pic:spPr>
                </pic:pic>
              </a:graphicData>
            </a:graphic>
          </wp:anchor>
        </w:drawing>
      </w:r>
    </w:p>
    <w:p w:rsidR="001577A4" w:rsidRPr="00E91CCE" w:rsidRDefault="001577A4" w:rsidP="001577A4">
      <w:pPr>
        <w:pStyle w:val="DefaultParagraphFont"/>
        <w:widowControl w:val="0"/>
        <w:autoSpaceDE w:val="0"/>
        <w:autoSpaceDN w:val="0"/>
        <w:adjustRightInd w:val="0"/>
        <w:spacing w:after="0" w:line="386"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ind w:firstLine="10"/>
        <w:jc w:val="center"/>
        <w:rPr>
          <w:rFonts w:ascii="Times New Roman" w:hAnsi="Times New Roman" w:cs="Times New Roman"/>
          <w:sz w:val="24"/>
          <w:szCs w:val="24"/>
          <w:lang w:val="es-ES"/>
        </w:rPr>
      </w:pPr>
      <w:r w:rsidRPr="00E91CCE">
        <w:rPr>
          <w:rFonts w:ascii="Times New Roman" w:hAnsi="Times New Roman" w:cs="Times New Roman"/>
          <w:b/>
          <w:bCs/>
          <w:sz w:val="24"/>
          <w:szCs w:val="24"/>
          <w:lang w:val="es-ES"/>
        </w:rPr>
        <w:t>OBSERVACIONES DE COSTA RICA AL INFORME PAIS</w:t>
      </w:r>
    </w:p>
    <w:p w:rsidR="001577A4" w:rsidRPr="00E91CCE" w:rsidRDefault="001577A4" w:rsidP="001577A4">
      <w:pPr>
        <w:pStyle w:val="DefaultParagraphFont"/>
        <w:widowControl w:val="0"/>
        <w:autoSpaceDE w:val="0"/>
        <w:autoSpaceDN w:val="0"/>
        <w:adjustRightInd w:val="0"/>
        <w:spacing w:after="0" w:line="239" w:lineRule="auto"/>
        <w:ind w:firstLine="10"/>
        <w:jc w:val="center"/>
        <w:rPr>
          <w:rFonts w:ascii="Times New Roman" w:hAnsi="Times New Roman" w:cs="Times New Roman"/>
          <w:sz w:val="24"/>
          <w:szCs w:val="24"/>
          <w:lang w:val="es-ES"/>
        </w:rPr>
      </w:pPr>
      <w:r w:rsidRPr="00E91CCE">
        <w:rPr>
          <w:rFonts w:ascii="Times New Roman" w:hAnsi="Times New Roman" w:cs="Times New Roman"/>
          <w:b/>
          <w:bCs/>
          <w:sz w:val="24"/>
          <w:szCs w:val="24"/>
          <w:lang w:val="es-ES"/>
        </w:rPr>
        <w:t>INFORME DE SEGUIMIENTO A LA IMPLEMENTACIÓN DE LAS</w:t>
      </w:r>
    </w:p>
    <w:p w:rsidR="001577A4" w:rsidRPr="00E91CCE" w:rsidRDefault="001577A4" w:rsidP="001577A4">
      <w:pPr>
        <w:pStyle w:val="DefaultParagraphFont"/>
        <w:widowControl w:val="0"/>
        <w:autoSpaceDE w:val="0"/>
        <w:autoSpaceDN w:val="0"/>
        <w:adjustRightInd w:val="0"/>
        <w:spacing w:after="0" w:line="3" w:lineRule="exact"/>
        <w:ind w:firstLine="10"/>
        <w:jc w:val="center"/>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ind w:firstLine="10"/>
        <w:jc w:val="center"/>
        <w:rPr>
          <w:rFonts w:ascii="Times New Roman" w:hAnsi="Times New Roman" w:cs="Times New Roman"/>
          <w:sz w:val="24"/>
          <w:szCs w:val="24"/>
          <w:lang w:val="es-ES"/>
        </w:rPr>
      </w:pPr>
      <w:r w:rsidRPr="00E91CCE">
        <w:rPr>
          <w:rFonts w:ascii="Times New Roman" w:hAnsi="Times New Roman" w:cs="Times New Roman"/>
          <w:b/>
          <w:bCs/>
          <w:sz w:val="24"/>
          <w:szCs w:val="24"/>
          <w:lang w:val="es-ES"/>
        </w:rPr>
        <w:t>RECOMENDACIONES DEL COMITÉ DE EXPERTAS DEL MESECVI</w:t>
      </w:r>
    </w:p>
    <w:p w:rsidR="001577A4" w:rsidRPr="00E91CCE" w:rsidRDefault="001577A4" w:rsidP="001577A4">
      <w:pPr>
        <w:pStyle w:val="DefaultParagraphFont"/>
        <w:widowControl w:val="0"/>
        <w:autoSpaceDE w:val="0"/>
        <w:autoSpaceDN w:val="0"/>
        <w:adjustRightInd w:val="0"/>
        <w:spacing w:after="0" w:line="239" w:lineRule="auto"/>
        <w:ind w:firstLine="10"/>
        <w:jc w:val="center"/>
        <w:rPr>
          <w:rFonts w:ascii="Times New Roman" w:hAnsi="Times New Roman" w:cs="Times New Roman"/>
          <w:sz w:val="24"/>
          <w:szCs w:val="24"/>
          <w:lang w:val="es-ES"/>
        </w:rPr>
      </w:pPr>
      <w:r w:rsidRPr="00E91CCE">
        <w:rPr>
          <w:rFonts w:ascii="Times New Roman" w:hAnsi="Times New Roman" w:cs="Times New Roman"/>
          <w:b/>
          <w:bCs/>
          <w:sz w:val="24"/>
          <w:szCs w:val="24"/>
          <w:lang w:val="es-ES"/>
        </w:rPr>
        <w:t>San José, Diciembre de 2014</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25"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r w:rsidRPr="00E91CCE">
        <w:rPr>
          <w:rFonts w:ascii="Times New Roman" w:hAnsi="Times New Roman" w:cs="Times New Roman"/>
          <w:b/>
          <w:bCs/>
          <w:sz w:val="24"/>
          <w:szCs w:val="24"/>
          <w:lang w:val="es-ES"/>
        </w:rPr>
        <w:t>INTRODUCCIÓN</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33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Desde finales del siglo anterior, el Estado costarricense viene desarrollando acciones institucionales para la promoción de la igualdad y equidad de género y en la atención y prevención de la violencia contra las mujeres, concretamente la creación de mecanismos a nivel nacional y local, así como la elaboración e implementación de políticas públicas. Destaca la creación y fortalecimiento del mecanismo a favor de la igualdad, el Instituto Nacional de las Mujeres -INAMU-, mediante Ley 7801, de 1998, con rango de institución autónoma. En la actualidad se cuenta con seis unidades regionales, encargadas de la rectoría en igualdad en el ámbito local y de ampliar los servicios de atención a mujeres en materia de orientación en derechos humanos y situaciones de violencia.</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 nivel nacional, se ha creado un conjunto de mecanismos de igualdad y equidad de género en instancias gubernamentales, entre los que destacan la Defensoría de la Mujer de la Defensoría de los Habitantes (1990), las Oficinas Municipales de la Mujer y las Unidades de Género en los ministerios y en instituciones autónomas. Estos dos últimos mecanismos constituyen la plataforma gubernamental para incidir en el diseño y la ejecución de las políticas públicas nacionales y en el nivel local, a favor de los derechos de las mujeres. Actualmente se cuenta con 26 mecanismos de igualdad en instituciones del Poder Ejecutivo y existe Unidades de Género en la Asamblea Legislativa, Poder Judicial y en el Tribunal Supremo de Elecciones. También se implementa el Proyecto Equitativos, cuyo objetivo es la generación de condiciones y herramientas institucionales para la planificación y presupuestación con enfoque de género.</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37" w:lineRule="auto"/>
        <w:jc w:val="both"/>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r w:rsidRPr="00E91CCE">
        <w:rPr>
          <w:rFonts w:ascii="Times New Roman" w:hAnsi="Times New Roman" w:cs="Times New Roman"/>
          <w:sz w:val="24"/>
          <w:szCs w:val="24"/>
          <w:lang w:val="es-ES"/>
        </w:rPr>
        <w:t>En el ámbito local, a la fecha se tienen 67 municipalidades (de un total de 81 cantones) que cuentan con mecanismos de igualdad y equidad d</w:t>
      </w:r>
      <w:r>
        <w:rPr>
          <w:rFonts w:ascii="Times New Roman" w:hAnsi="Times New Roman" w:cs="Times New Roman"/>
          <w:sz w:val="24"/>
          <w:szCs w:val="24"/>
          <w:lang w:val="es-ES"/>
        </w:rPr>
        <w:t xml:space="preserve">e género. Bajo diversas figuras, </w:t>
      </w: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bookmarkStart w:id="2" w:name="page2"/>
      <w:bookmarkEnd w:id="2"/>
      <w:r w:rsidRPr="00E91CCE">
        <w:rPr>
          <w:rFonts w:ascii="Times New Roman" w:hAnsi="Times New Roman" w:cs="Times New Roman"/>
          <w:sz w:val="24"/>
          <w:szCs w:val="24"/>
          <w:lang w:val="es-ES"/>
        </w:rPr>
        <w:lastRenderedPageBreak/>
        <w:t>estos son parte de la estructura municipal y son concebidos como mecanismos afirmativos en el nivel local para el avance de los derechos de las mujeres. Sus áreas de intervención tienen que ver con los temas de violencia intrafamiliar, promoción de la empresariedad de las mujeres, promoción de la participación ciudadana e impulso de la transversalidad del enfoque de género en el quehacer municipal. Mantienen un contacto constante con el Mecanismo Nacional para el Adelanto de las Mujeres –INAMU-, institución que proporciona la capacitación, la asesoría, el acompañamiento de experiencias y la formalización de condiciones para su institucionalización.</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el campo de las políticas públicas destaca la creación de la Política Nacional de Igualdad y Equidad de Género (PIEG) 2007-2017, importante hito a favor de la igualdad de género. Esta primera experiencia demostró la importancia de contar con instrumentos de política pública, que garanticen la no discriminación en la respuesta del Estado a las demandas particulares de las mujeres. La PIEG ha sido una política de aporte y crecimiento colectivo en su proceso de diseño, ejecución, seguimiento y rendición de cuentas. Ha facilitado las relaciones de coordinación entre instituciones y entre los diferentes Poderes del Estado y el Mecanismo Nacional para el Adelanto de las Mujeres, así como con las organizaciones de mujeres. Además, es una política que cuenta con información detallada de sus avances, y que desde su inicio ha considerado las voces de la sociedad civil en su proceso de seguimiento, monitoreo y evaluación.</w:t>
      </w:r>
    </w:p>
    <w:p w:rsidR="001577A4" w:rsidRPr="00E91CCE" w:rsidRDefault="001577A4" w:rsidP="001577A4">
      <w:pPr>
        <w:pStyle w:val="DefaultParagraphFont"/>
        <w:widowControl w:val="0"/>
        <w:autoSpaceDE w:val="0"/>
        <w:autoSpaceDN w:val="0"/>
        <w:adjustRightInd w:val="0"/>
        <w:spacing w:after="0" w:line="33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Un gran logro en este período es la creación y consolidación de un engranaje institucional para la atención y prevención de la violencia contra las mujeres, compuesto de un marco normativo y de mecanismos intra e interinstitucionales. A mediados de los años noventa, se elabora y pone en ejecución el Plan Nacional para la Atención y la Prevención de la Violencia Intrafamiliar (PLANOVI), la primera política estatal en materia de violencia intrafamiliar, impulsada por el INAMU. Su objetivo general consiste en la concertación de respuestas coherentes y articuladas, a nivel interinstitucional e intersectorial, sustentadas en los enfoques de derechos humanos y de género para la promoción de los derechos humanos y la equidad de género, la prevención de la violencia contras las mujeres y la atención oportuna, integral y de calidad a las mujeres en situaciones de violencia en relaciones familiares y de pareja, así como en casos de hostigamiento sexual y violación.</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Esta articulación de políticas y mecanismos en los diversos niveles conforma una plataforma estatal que contribuye al avance de los derechos de las mujeres en el país. Todo esto ha implicado un largo proceso de estructuración institucional, posicionamiento de las mismas </w:t>
      </w:r>
      <w:r w:rsidRPr="00E91CCE">
        <w:rPr>
          <w:rFonts w:ascii="Times New Roman" w:hAnsi="Times New Roman" w:cs="Times New Roman"/>
          <w:sz w:val="24"/>
          <w:szCs w:val="24"/>
          <w:lang w:val="es-ES"/>
        </w:rPr>
        <w:lastRenderedPageBreak/>
        <w:t>mujeres y un reto para todo el sistema democrático, en términos de su consolidación y puesta en ejecución con resultados efectivos y tangibles.</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30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53"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 continuación, se aporta información adicional como complemento al Informe de Seguimiento al Estado de Costa Rica en la implementación de las recomendaciones del Comité de Expertas del MESECVI, Segunda Ronda.</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5" w:lineRule="exact"/>
        <w:rPr>
          <w:rFonts w:ascii="Times New Roman" w:hAnsi="Times New Roman" w:cs="Times New Roman"/>
          <w:sz w:val="24"/>
          <w:szCs w:val="24"/>
          <w:lang w:val="es-ES"/>
        </w:rPr>
      </w:pPr>
      <w:bookmarkStart w:id="3" w:name="page3"/>
      <w:bookmarkEnd w:id="3"/>
    </w:p>
    <w:p w:rsidR="001577A4" w:rsidRPr="00E91CCE" w:rsidRDefault="001577A4" w:rsidP="001577A4">
      <w:pPr>
        <w:pStyle w:val="DefaultParagraphFont"/>
        <w:widowControl w:val="0"/>
        <w:overflowPunct w:val="0"/>
        <w:autoSpaceDE w:val="0"/>
        <w:autoSpaceDN w:val="0"/>
        <w:adjustRightInd w:val="0"/>
        <w:spacing w:after="0" w:line="236"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PRINCIPALES ACONTECIMIENTOS CONSTITUCIONALES, LEGISLATIVOS Y/O JURÍDICOS EN EL ÁMBITO DE LA VIOLENCIA DE GÉNERO</w:t>
      </w:r>
    </w:p>
    <w:p w:rsidR="001577A4" w:rsidRPr="00E91CCE" w:rsidRDefault="001577A4" w:rsidP="001577A4">
      <w:pPr>
        <w:pStyle w:val="DefaultParagraphFont"/>
        <w:widowControl w:val="0"/>
        <w:autoSpaceDE w:val="0"/>
        <w:autoSpaceDN w:val="0"/>
        <w:adjustRightInd w:val="0"/>
        <w:spacing w:after="0" w:line="24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materia de prevención y sanción de todas las formas de violencia contra las mujeres y las niñas, Costa Rica ha tenido avances y logros sustantivos desde la década de los noventa. No solo se aprueban leyes especiales, que fortalecen los planes y programas de atención de las mujeres afectadas por la violencia intrafamiliar, se reconocen también otras formas de violencia basada en el género. Algunas de las leyes fueron reformadas, pero también se crearon otras nuevas. El país cuenta con legislación en violencia doméstica, penalización de la violencia contra las mujeres y legislación específica en trata, explotación sexual comercial y hostigamiento sexual. De igual manera, se ha impulsado políticas públicas de prevención y atención de la violencia contra las mujeres.</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6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39" w:lineRule="auto"/>
        <w:rPr>
          <w:rFonts w:ascii="Times New Roman" w:hAnsi="Times New Roman" w:cs="Times New Roman"/>
          <w:sz w:val="24"/>
          <w:szCs w:val="24"/>
          <w:lang w:val="es-ES"/>
        </w:rPr>
      </w:pPr>
      <w:r w:rsidRPr="00E91CCE">
        <w:rPr>
          <w:rFonts w:ascii="Times New Roman" w:hAnsi="Times New Roman" w:cs="Times New Roman"/>
          <w:b/>
          <w:bCs/>
          <w:sz w:val="24"/>
          <w:szCs w:val="24"/>
          <w:lang w:val="es-ES"/>
        </w:rPr>
        <w:t>POLÍTICAS PÚBLICAS</w:t>
      </w:r>
    </w:p>
    <w:p w:rsidR="001577A4" w:rsidRPr="00E91CCE" w:rsidRDefault="001577A4" w:rsidP="001577A4">
      <w:pPr>
        <w:pStyle w:val="DefaultParagraphFont"/>
        <w:widowControl w:val="0"/>
        <w:autoSpaceDE w:val="0"/>
        <w:autoSpaceDN w:val="0"/>
        <w:adjustRightInd w:val="0"/>
        <w:spacing w:after="0" w:line="37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Costa Rica ha continuado sus esfuerzos por integrar una perspectiva de género en todas las esferas del gobierno. Con este propósito, ha implementado en las instituciones estatales una serie de iniciativas no sólo para asegurar el respeto y el cumplimiento de estas obligaciones, sino para la construcción de una sociedad con principios de igualdad de género. Un ejemplo de este trabajo lo constituye la </w:t>
      </w:r>
      <w:r w:rsidRPr="00E91CCE">
        <w:rPr>
          <w:rFonts w:ascii="Times New Roman" w:hAnsi="Times New Roman" w:cs="Times New Roman"/>
          <w:b/>
          <w:bCs/>
          <w:sz w:val="24"/>
          <w:szCs w:val="24"/>
          <w:lang w:val="es-ES"/>
        </w:rPr>
        <w:t>Política Nacional de Igualdad y</w:t>
      </w:r>
      <w:r w:rsidRPr="00E91CCE">
        <w:rPr>
          <w:rFonts w:ascii="Times New Roman" w:hAnsi="Times New Roman" w:cs="Times New Roman"/>
          <w:sz w:val="24"/>
          <w:szCs w:val="24"/>
          <w:lang w:val="es-ES"/>
        </w:rPr>
        <w:t xml:space="preserve"> </w:t>
      </w:r>
      <w:r w:rsidRPr="00E91CCE">
        <w:rPr>
          <w:rFonts w:ascii="Times New Roman" w:hAnsi="Times New Roman" w:cs="Times New Roman"/>
          <w:b/>
          <w:bCs/>
          <w:sz w:val="24"/>
          <w:szCs w:val="24"/>
          <w:lang w:val="es-ES"/>
        </w:rPr>
        <w:t>Equidad de Género (PIEG)</w:t>
      </w:r>
      <w:r w:rsidRPr="00E91CCE">
        <w:rPr>
          <w:rFonts w:ascii="Times New Roman" w:hAnsi="Times New Roman" w:cs="Times New Roman"/>
          <w:sz w:val="24"/>
          <w:szCs w:val="24"/>
          <w:lang w:val="es-ES"/>
        </w:rPr>
        <w:t>, formulada en el 2007, la cual cuenta con el concurso y la</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voluntad política de los cuatro Poderes de la República, las organizaciones de mujeres y diversos sectores de la sociedad civil y el auspicio del Fondo de Población de las Naciones Unidas (UNFPA).</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La PIEG condensa los compromisos asumidos por el Estado costarricense para una década (2007-2017) con miras al cierre de brechas de género. Es una política de largo plazo, que prioriza seis objetivos estratégicos relacionados con el empleo y los ingresos, las responsabilidades familiares, la educación y la salud, la protección efectiva de los derechos y el enfrentamiento de la violencia, la participación política y el fortalecimiento de la institucionalidad a favor de la igualdad y la equidad de género. Su ejecución es responsabilidad de los diferentes poderes y del conjunto de instituciones del Estado, bajo el papel rector del INAMU que cuenta con información y valoración detallada de sus avances, y considera las voces de la sociedad civil en su proceso de seguimiento, monitoreo y </w:t>
      </w:r>
      <w:r w:rsidRPr="00E91CCE">
        <w:rPr>
          <w:rFonts w:ascii="Times New Roman" w:hAnsi="Times New Roman" w:cs="Times New Roman"/>
          <w:sz w:val="24"/>
          <w:szCs w:val="24"/>
          <w:lang w:val="es-ES"/>
        </w:rPr>
        <w:lastRenderedPageBreak/>
        <w:t>evaluación.</w:t>
      </w:r>
    </w:p>
    <w:p w:rsidR="001577A4" w:rsidRPr="00E91CCE" w:rsidRDefault="001577A4" w:rsidP="001577A4">
      <w:pPr>
        <w:pStyle w:val="DefaultParagraphFont"/>
        <w:widowControl w:val="0"/>
        <w:autoSpaceDE w:val="0"/>
        <w:autoSpaceDN w:val="0"/>
        <w:adjustRightInd w:val="0"/>
        <w:spacing w:after="0" w:line="343"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los esfuerzos para reducir la discriminación contra la mujer en todas sus formas, se han desarrollado procesos de capacitación género-sensitiva a personal de los Tribunales de Justicia, funcionarios y funcionarias públicas que reciben denuncias de mujeres por situaciones de discriminación y violencia. Además con el INAMU como ente rector, se han realizado una serie de acciones sostenidas hacia el cambio cultural a favor de la igualdad de género, con procesos permanentes de capacitación y sensibilización en materia de género y derechos humanos a personas funcionarias del Ministerio de Educación Pública, Ministerio de Justicia y Gracia, Ministerio de Salud, Ministerio de Cultura y Juventud,</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4" w:name="page4"/>
      <w:bookmarkEnd w:id="4"/>
    </w:p>
    <w:p w:rsidR="001577A4" w:rsidRPr="00E91CCE" w:rsidRDefault="001577A4" w:rsidP="001577A4">
      <w:pPr>
        <w:pStyle w:val="DefaultParagraphFont"/>
        <w:widowControl w:val="0"/>
        <w:overflowPunct w:val="0"/>
        <w:autoSpaceDE w:val="0"/>
        <w:autoSpaceDN w:val="0"/>
        <w:adjustRightInd w:val="0"/>
        <w:spacing w:after="0" w:line="25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Ministerio de Ambiente y Energía, Patronato Nacional de la Infancia, Consejo Nacional de Rehabilitación y Educación Especial, Caja Costarricense del Seguro Social, Comisión Nacional de Emergencias, Instituto Costarricense de Acueductos y Alcantarillados.</w:t>
      </w:r>
    </w:p>
    <w:p w:rsidR="001577A4" w:rsidRPr="00E91CCE" w:rsidRDefault="001577A4" w:rsidP="001577A4">
      <w:pPr>
        <w:pStyle w:val="DefaultParagraphFont"/>
        <w:widowControl w:val="0"/>
        <w:autoSpaceDE w:val="0"/>
        <w:autoSpaceDN w:val="0"/>
        <w:adjustRightInd w:val="0"/>
        <w:spacing w:after="0" w:line="35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Con el objetivo de asegurar el acceso a la justicia, se brinda información, orientación y asesoría jurídica a las mujeres en procesos judiciales o administrativos con aportes con perspectiva de género y derechos humanos que permite la incidencia en los procesos individuales y colectivos.</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Se desarrollan campañas mediáticas género sensitivas para el combate de estereotipos asociados al género. Éstas cuentan con mensajes para su difusión en televisión, radio, prensa, además de afiches y otro tipo de recursos comunicacionales que permiten irradiar mensajes educativos y de derechos humanos de las mujeres en todo el territorio nacional en temáticas como: igualdad salarial; derechos de las trabajadoras domésticas; violencia intrafamiliar, mensajes contra el femicidio y el compromiso de la comunidad de denunciarlo y participar en su prevención. Además se insiste en la necesidad de denunciar las agresiones y hacer partícipe a la comunidad nacional.</w:t>
      </w:r>
    </w:p>
    <w:p w:rsidR="001577A4" w:rsidRPr="00E91CCE" w:rsidRDefault="001577A4" w:rsidP="001577A4">
      <w:pPr>
        <w:pStyle w:val="DefaultParagraphFont"/>
        <w:widowControl w:val="0"/>
        <w:autoSpaceDE w:val="0"/>
        <w:autoSpaceDN w:val="0"/>
        <w:adjustRightInd w:val="0"/>
        <w:spacing w:after="0" w:line="33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En el año 2008 se promulga la Ley Nº 8688 de creación del </w:t>
      </w:r>
      <w:r w:rsidRPr="00E91CCE">
        <w:rPr>
          <w:rFonts w:ascii="Times New Roman" w:hAnsi="Times New Roman" w:cs="Times New Roman"/>
          <w:b/>
          <w:bCs/>
          <w:sz w:val="24"/>
          <w:szCs w:val="24"/>
          <w:lang w:val="es-ES"/>
        </w:rPr>
        <w:t>Sistema Nacional de</w:t>
      </w:r>
      <w:r w:rsidRPr="00E91CCE">
        <w:rPr>
          <w:rFonts w:ascii="Times New Roman" w:hAnsi="Times New Roman" w:cs="Times New Roman"/>
          <w:sz w:val="24"/>
          <w:szCs w:val="24"/>
          <w:lang w:val="es-ES"/>
        </w:rPr>
        <w:t xml:space="preserve"> </w:t>
      </w:r>
      <w:r w:rsidRPr="00E91CCE">
        <w:rPr>
          <w:rFonts w:ascii="Times New Roman" w:hAnsi="Times New Roman" w:cs="Times New Roman"/>
          <w:b/>
          <w:bCs/>
          <w:sz w:val="24"/>
          <w:szCs w:val="24"/>
          <w:lang w:val="es-ES"/>
        </w:rPr>
        <w:t>Atención y Prevención de la Violencia contra las Mujeres y la Violencia Intrafamiliar</w:t>
      </w:r>
      <w:r w:rsidRPr="00E91CCE">
        <w:rPr>
          <w:rFonts w:ascii="Times New Roman" w:hAnsi="Times New Roman" w:cs="Times New Roman"/>
          <w:sz w:val="24"/>
          <w:szCs w:val="24"/>
          <w:lang w:val="es-ES"/>
        </w:rPr>
        <w:t>.</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Continuando con estos esfuerzos, en el año 2009 se actualiza y reformula el Plan Nacional de Atención y Prevención de la Violencia contra las Mujeres en las relaciones de pareja y familiares, junto con su plan de acción PLANOVI-MUJER 2010-2015, cuyo desafío es la erradicación de la violencia contra las mujeres.</w:t>
      </w:r>
    </w:p>
    <w:p w:rsidR="001577A4" w:rsidRPr="00E91CCE" w:rsidRDefault="001577A4" w:rsidP="001577A4">
      <w:pPr>
        <w:pStyle w:val="DefaultParagraphFont"/>
        <w:widowControl w:val="0"/>
        <w:autoSpaceDE w:val="0"/>
        <w:autoSpaceDN w:val="0"/>
        <w:adjustRightInd w:val="0"/>
        <w:spacing w:after="0" w:line="22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La Ley de Creación del Sistema Nacional le confiere la facultad al INAMU para ejercer la rectoría de las políticas en ejes de incidencia política, promoción y prevención, atención y facilitación de recursos de apoyo para las mujeres que enfrentan alguna forma de violencia. Comprende además instancias de coordinación política y técnica – nacionales y regionales: un Consejo Político, una Comisión Técnica de Seguimiento y redes locales. La política </w:t>
      </w:r>
      <w:r w:rsidRPr="00E91CCE">
        <w:rPr>
          <w:rFonts w:ascii="Times New Roman" w:hAnsi="Times New Roman" w:cs="Times New Roman"/>
          <w:sz w:val="24"/>
          <w:szCs w:val="24"/>
          <w:lang w:val="es-ES"/>
        </w:rPr>
        <w:lastRenderedPageBreak/>
        <w:t>pública vigente en esta materia, denominada PLANOVI-Mujer, opera en el marco de este Sistema Nacional.</w:t>
      </w:r>
    </w:p>
    <w:p w:rsidR="001577A4" w:rsidRPr="00E91CCE" w:rsidRDefault="001577A4" w:rsidP="001577A4">
      <w:pPr>
        <w:pStyle w:val="DefaultParagraphFont"/>
        <w:widowControl w:val="0"/>
        <w:autoSpaceDE w:val="0"/>
        <w:autoSpaceDN w:val="0"/>
        <w:adjustRightInd w:val="0"/>
        <w:spacing w:after="0" w:line="34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Sistema Nacional de Atención y Prevención de la Violencia contra las Mujeres y la Violencia Intrafamiliar constituye una instancia de deliberación, concertación, coordinación y evaluación entre el Instituto Nacional de las Mujeres, los ministerios, las instituciones descentralizadas del Estado y las organizaciones relacionadas con la materia. La Ley 8688 obliga a las instituciones integrantes a realizar un proceso de rendición de cuentas anual ante el Consejo de Gobierno y ante la ciudadanía. A tal efecto, las instituciones deben presentar informes sobre el cumplimiento de obligaciones en el marco del PLANOVI Mujer. El primer proceso de rendición de cuentas tuvo lugar en el año 2013, de tal manera que se cuenta desde esta fecha con información sistematizada sobre el avance en la ejecución del PLANOVI Mujer.</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5" w:name="page5"/>
      <w:bookmarkEnd w:id="5"/>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Las organizaciones no gubernamentales participan de manera activa como integrantes de la Comisión de Seguimiento del Sistema Nacional para la Atención y Prevención de la VcM y Violencia intrafamiliar, así como en la Coalición Nacional contra el Tráfico Ilícito de Migrantes y Trata de Personas. Ambas leyes regulan la participación de la sociedad civil en estas instancias de formulación y seguimiento de políticas públicas específicas. La mayor parte de las instituciones del Sistema Nacional desarrollan estrategias de comunicación sobre diversas manifestaciones de la VcM: intrafamiliar, hostigamiento, trata de mujeres. En estas campañas se educa sobre la problemática, se informa sobre servicios y programas y se contribuye a la prevención y transformación de estereotipos.</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Ejemplos concretos de aplicación de esta Política Pública, en el marco del Sistema Nacional, son las Redes Locales para la Prevención y Atención de la Violencia contra las Mujeres: Estrategia que concretiza la implementación de la Política Nacional en el nivel local. Están integradas por las instituciones con representación local que forman parte del Sistema Nacional para Prevención y Atención de Violencia contra las Mujeres, incluyendo organizaciones de sociedad civil y municipalidades.</w:t>
      </w:r>
    </w:p>
    <w:p w:rsidR="001577A4" w:rsidRPr="00E91CCE" w:rsidRDefault="001577A4" w:rsidP="001577A4">
      <w:pPr>
        <w:pStyle w:val="DefaultParagraphFont"/>
        <w:widowControl w:val="0"/>
        <w:autoSpaceDE w:val="0"/>
        <w:autoSpaceDN w:val="0"/>
        <w:adjustRightInd w:val="0"/>
        <w:spacing w:after="0" w:line="347"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Actualmente funcionan redes locales en 71 cantones (de un total de 81) distribuidos en todo el territorio nacional. A través de esta estrategia, se ha logrado reconocer la magnitud del problema de violencia contra las mujeres y sus implicaciones y generar acciones de atención integral especializada acordes a las necesidades particulares de las mujeres, así como la ejecución de proyectos y programas de prevención, tomando en cuenta el contexto socio-cultural de cada localidad. Las redes han generado insumos para la actualización de la política pública en todos los niveles del Sistema, además de su adecuación a la realidad local.</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Otro ejemplo concreto de implementación de la Política son los servicios de atención </w:t>
      </w:r>
      <w:r w:rsidRPr="00E91CCE">
        <w:rPr>
          <w:rFonts w:ascii="Times New Roman" w:hAnsi="Times New Roman" w:cs="Times New Roman"/>
          <w:sz w:val="24"/>
          <w:szCs w:val="24"/>
          <w:lang w:val="es-ES"/>
        </w:rPr>
        <w:lastRenderedPageBreak/>
        <w:t>especializada a mujeres víctimas de violencia sexual, en forma articulada con el Ministerio de Seguridad Pública y Poder Judicial y los servicios de salud: Se conformaron Equipos de Respuesta Rápida a Víctimas de Violación, sustentados en un Convenio interinstitucional y un manual de procedimientos técnicos operativos que comprende servicios ininterrumpidos por parte de la Fiscalía, la Policía Judicial, el Departamento de Medicina Legal, el Departamento de Ciencias Forenses y en los Hospitales de todo el país. Incluye el suministro de antirretrovirales para prevenir transmisión de VIH-SIDA.</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Consejo Nacional, órgano político superior del Sistema Nacional de Atención y Prevención de la Violencia contra las Mujeres, emitió Directriz para que en las instituciones que conforman el Sistema, se oficialice la conceptualización del femicidio basada en la Convención de Belém do Pará (ampliando el concepto más allá del que contempla la Ley de Penalización de Violencia contra las Mujeres), así como una nueva metodología para su registro estadístico. En la actualidad, los registros oficiales de país en esta materia, son acordes con este concepto de femicidio ampliado y aplican la metodología propuesta para dicho registro.</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6" w:name="page6"/>
      <w:bookmarkEnd w:id="6"/>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La Comisión Interinstitucional para el Seguimiento e Implementación de las Obligaciones Internacionales sobre Derechos Humanos (CIIDDHH), durante los primeros dos años de su funcionamiento trabajó en la elaboración de una </w:t>
      </w:r>
      <w:r w:rsidRPr="00E91CCE">
        <w:rPr>
          <w:rFonts w:ascii="Times New Roman" w:hAnsi="Times New Roman" w:cs="Times New Roman"/>
          <w:b/>
          <w:bCs/>
          <w:sz w:val="24"/>
          <w:szCs w:val="24"/>
          <w:lang w:val="es-ES"/>
        </w:rPr>
        <w:t>Política y Plan de Acción para una</w:t>
      </w:r>
      <w:r w:rsidRPr="00E91CCE">
        <w:rPr>
          <w:rFonts w:ascii="Times New Roman" w:hAnsi="Times New Roman" w:cs="Times New Roman"/>
          <w:sz w:val="24"/>
          <w:szCs w:val="24"/>
          <w:lang w:val="es-ES"/>
        </w:rPr>
        <w:t xml:space="preserve"> </w:t>
      </w:r>
      <w:r w:rsidRPr="00E91CCE">
        <w:rPr>
          <w:rFonts w:ascii="Times New Roman" w:hAnsi="Times New Roman" w:cs="Times New Roman"/>
          <w:b/>
          <w:bCs/>
          <w:sz w:val="24"/>
          <w:szCs w:val="24"/>
          <w:lang w:val="es-ES"/>
        </w:rPr>
        <w:t>Sociedad Libre del Racismo, Discriminación Racial y Xenofobia</w:t>
      </w:r>
      <w:r w:rsidRPr="00E91CCE">
        <w:rPr>
          <w:rFonts w:ascii="Times New Roman" w:hAnsi="Times New Roman" w:cs="Times New Roman"/>
          <w:sz w:val="24"/>
          <w:szCs w:val="24"/>
          <w:lang w:val="es-ES"/>
        </w:rPr>
        <w:t>. Costa Rica se ha</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comprometido a partir de las Convenciones internacionales y de instrumentos como la Declaración y Programa de Acción de Durban, a generar acciones afirmativas en favor de las personas afrodescendientes y ese precisamente es el objetivo principal de la Política Nacional, fortalecer el marco jurídico e institucional de la lucha contra el racismo y la discriminación racial.</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proceso de elaboración de esta Política involucró el trabajo constante y coordinación con las instituciones estatales pertenecientes a la CIIDDHH. Asimismo, a través del Ente Permanente de Consulta con la Sociedad Civil, se prepararon reuniones y talleres con organizaciones de los diferentes grupos metas (pueblos indígenas y afrodescendientes, migrantes y refugiados). La construcción de la Política tuvo como dos grandes desafíos la visibilización de las condiciones y necesidades de cada grupo de población y la participación efectiva de ellos en su elaboración. La Política fue presentada públicamente en diciembre del año 2013.</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construcción de la Política, ha generado un proceso de concienciación y sensibilización en las instituciones públicas, que empieza a derivar en una comprensión de mayor amplitud sobre la necesidad de políticas institucionales y acciones con enfoques particularizados hacia los pueblos indígenas, afrodescendientes y migrantes y refugiados.</w:t>
      </w:r>
    </w:p>
    <w:p w:rsidR="001577A4" w:rsidRPr="00E91CCE" w:rsidRDefault="001577A4" w:rsidP="001577A4">
      <w:pPr>
        <w:pStyle w:val="DefaultParagraphFont"/>
        <w:widowControl w:val="0"/>
        <w:autoSpaceDE w:val="0"/>
        <w:autoSpaceDN w:val="0"/>
        <w:adjustRightInd w:val="0"/>
        <w:spacing w:after="0" w:line="35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general, si bien no se puede afirmar que las instituciones del Estado cuentan con políticas institucionales amplias con enfoques diferenciados para estas poblaciones, es posible observar que hay diversos esfuerzos, algunos órganos específicos y programas concretos que velan principalmente por algunas comunidades indígenas y por sectores de migrantes y refugiados. Por ejemplo, el INAMU ha apoyado y conducido en los últimos tres años (2012, 2013, 2014) Encuentros de Mujeres Afrodescendientes y de Mujeres Indígenas, y los Foros: Avances y desafíos de los derechos humanos de las mujeres, cuyo objetivo se encauza a proporcionar un espacio de intercambio, análisis y elaboración de propuestas de las mujeres afrodescendientes y de las mujeres indígenas procedentes de todas las regiones del país, en torno a la defensa de sus derechos humanos y a la generación de políticas públicas atinentes.</w:t>
      </w:r>
    </w:p>
    <w:p w:rsidR="001577A4" w:rsidRPr="00E91CCE" w:rsidRDefault="001577A4" w:rsidP="001577A4">
      <w:pPr>
        <w:pStyle w:val="DefaultParagraphFont"/>
        <w:widowControl w:val="0"/>
        <w:autoSpaceDE w:val="0"/>
        <w:autoSpaceDN w:val="0"/>
        <w:adjustRightInd w:val="0"/>
        <w:spacing w:after="0" w:line="255"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En el caso de la </w:t>
      </w:r>
      <w:r w:rsidRPr="00E91CCE">
        <w:rPr>
          <w:rFonts w:ascii="Times New Roman" w:hAnsi="Times New Roman" w:cs="Times New Roman"/>
          <w:b/>
          <w:bCs/>
          <w:sz w:val="24"/>
          <w:szCs w:val="24"/>
          <w:lang w:val="es-ES"/>
        </w:rPr>
        <w:t>política migratoria</w:t>
      </w:r>
      <w:r w:rsidRPr="00E91CCE">
        <w:rPr>
          <w:rFonts w:ascii="Times New Roman" w:hAnsi="Times New Roman" w:cs="Times New Roman"/>
          <w:sz w:val="24"/>
          <w:szCs w:val="24"/>
          <w:lang w:val="es-ES"/>
        </w:rPr>
        <w:t>, el Gobierno de Costa Rica reconociendo el aporte de las personas migrantes y refugiadas al acervo cultural, desarrollo económico y bienestar social de las habitantes y los habitantes, formuló una política migratoria que constituye herramienta para orientar las acciones estatales y crear las condiciones necesarias para que la migración se convierta en un elemento para el desarrollo del país, pero a la vez propicie las condiciones idóneas para su bienestar y el de sus familias de forma integrada e inclusiva en la sociedad costarricense. Así mismo, esta política refleja los compromisos del Estado costarricense para los próximos 10 años (2013-2023) a fin de gestionar y controlar los flujos migratorios y procurar una adecuada integración de las</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7" w:name="page7"/>
      <w:bookmarkEnd w:id="7"/>
    </w:p>
    <w:p w:rsidR="001577A4" w:rsidRPr="00E91CCE" w:rsidRDefault="001577A4" w:rsidP="001577A4">
      <w:pPr>
        <w:pStyle w:val="DefaultParagraphFont"/>
        <w:widowControl w:val="0"/>
        <w:overflowPunct w:val="0"/>
        <w:autoSpaceDE w:val="0"/>
        <w:autoSpaceDN w:val="0"/>
        <w:adjustRightInd w:val="0"/>
        <w:spacing w:after="0" w:line="23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personas migrantes, así como la promoción del desarrollo nacional mediante el ordenamiento y articulación de las acciones interinstitucionales en materia migratoria.</w:t>
      </w:r>
    </w:p>
    <w:p w:rsidR="001577A4" w:rsidRPr="00E91CCE" w:rsidRDefault="001577A4" w:rsidP="001577A4">
      <w:pPr>
        <w:pStyle w:val="DefaultParagraphFont"/>
        <w:widowControl w:val="0"/>
        <w:autoSpaceDE w:val="0"/>
        <w:autoSpaceDN w:val="0"/>
        <w:adjustRightInd w:val="0"/>
        <w:spacing w:after="0" w:line="28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Política Nacional en Discapacidad 2011-2021 (PONADIS)</w:t>
      </w:r>
      <w:r w:rsidRPr="00E91CCE">
        <w:rPr>
          <w:rFonts w:ascii="Times New Roman" w:hAnsi="Times New Roman" w:cs="Times New Roman"/>
          <w:sz w:val="24"/>
          <w:szCs w:val="24"/>
          <w:lang w:val="es-ES"/>
        </w:rPr>
        <w:t>, con la ratificación de la</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Convención, en el año 2008, el Estado costarricense se comprometió a prohibir cualquier tipo de discriminación en razón de la discapacidad, a establecer políticas de no discriminación y medidas de acción positiva, así como a adaptar el ordenamiento jurídico para que las personas con discapacidad puedan hacer valer sus derechos. El Consejo Nacional de Rehabilitación en su condición de ente rector juega un rol articulador-fiscalizador, a fin de que se cumpla con dicha obligación.</w:t>
      </w:r>
    </w:p>
    <w:p w:rsidR="001577A4" w:rsidRPr="00E91CCE" w:rsidRDefault="001577A4" w:rsidP="001577A4">
      <w:pPr>
        <w:pStyle w:val="DefaultParagraphFont"/>
        <w:widowControl w:val="0"/>
        <w:autoSpaceDE w:val="0"/>
        <w:autoSpaceDN w:val="0"/>
        <w:adjustRightInd w:val="0"/>
        <w:spacing w:after="0" w:line="34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política se fundamenta en 5 ejes estratégicos a saber: Institucionalidad democrática</w:t>
      </w:r>
      <w:r w:rsidRPr="00E91CCE">
        <w:rPr>
          <w:rFonts w:ascii="Times New Roman" w:hAnsi="Times New Roman" w:cs="Times New Roman"/>
          <w:b/>
          <w:bCs/>
          <w:sz w:val="24"/>
          <w:szCs w:val="24"/>
          <w:lang w:val="es-ES"/>
        </w:rPr>
        <w:t>,</w:t>
      </w:r>
      <w:r w:rsidRPr="00E91CCE">
        <w:rPr>
          <w:rFonts w:ascii="Times New Roman" w:hAnsi="Times New Roman" w:cs="Times New Roman"/>
          <w:sz w:val="24"/>
          <w:szCs w:val="24"/>
          <w:lang w:val="es-ES"/>
        </w:rPr>
        <w:t xml:space="preserve"> acceso a la salud</w:t>
      </w:r>
      <w:r w:rsidRPr="00E91CCE">
        <w:rPr>
          <w:rFonts w:ascii="Times New Roman" w:hAnsi="Times New Roman" w:cs="Times New Roman"/>
          <w:b/>
          <w:bCs/>
          <w:sz w:val="24"/>
          <w:szCs w:val="24"/>
          <w:lang w:val="es-ES"/>
        </w:rPr>
        <w:t>,</w:t>
      </w:r>
      <w:r w:rsidRPr="00E91CCE">
        <w:rPr>
          <w:rFonts w:ascii="Times New Roman" w:hAnsi="Times New Roman" w:cs="Times New Roman"/>
          <w:sz w:val="24"/>
          <w:szCs w:val="24"/>
          <w:lang w:val="es-ES"/>
        </w:rPr>
        <w:t xml:space="preserve"> acceso a la educación</w:t>
      </w:r>
      <w:r w:rsidRPr="00E91CCE">
        <w:rPr>
          <w:rFonts w:ascii="Times New Roman" w:hAnsi="Times New Roman" w:cs="Times New Roman"/>
          <w:b/>
          <w:bCs/>
          <w:sz w:val="24"/>
          <w:szCs w:val="24"/>
          <w:lang w:val="es-ES"/>
        </w:rPr>
        <w:t>,</w:t>
      </w:r>
      <w:r w:rsidRPr="00E91CCE">
        <w:rPr>
          <w:rFonts w:ascii="Times New Roman" w:hAnsi="Times New Roman" w:cs="Times New Roman"/>
          <w:sz w:val="24"/>
          <w:szCs w:val="24"/>
          <w:lang w:val="es-ES"/>
        </w:rPr>
        <w:t xml:space="preserve"> acceso al trabajo</w:t>
      </w:r>
      <w:r w:rsidRPr="00E91CCE">
        <w:rPr>
          <w:rFonts w:ascii="Times New Roman" w:hAnsi="Times New Roman" w:cs="Times New Roman"/>
          <w:b/>
          <w:bCs/>
          <w:sz w:val="24"/>
          <w:szCs w:val="24"/>
          <w:lang w:val="es-ES"/>
        </w:rPr>
        <w:t>,</w:t>
      </w:r>
      <w:r w:rsidRPr="00E91CCE">
        <w:rPr>
          <w:rFonts w:ascii="Times New Roman" w:hAnsi="Times New Roman" w:cs="Times New Roman"/>
          <w:sz w:val="24"/>
          <w:szCs w:val="24"/>
          <w:lang w:val="es-ES"/>
        </w:rPr>
        <w:t xml:space="preserve"> personas, organizaciones y entorno y genera una articulación importante entre instituciones como el Consejo Nacional de Rehabilitación y Educación Especial, Ministerio de Planificación Nacional y Política Económica, Ministerio de Salud, Ministerio de Bienestar Social y Familia, Ministerio de Trabajo y Seguridad Social, el Ministerio de Educación Pública, entre otras.</w:t>
      </w:r>
    </w:p>
    <w:p w:rsidR="001577A4" w:rsidRPr="00E91CCE" w:rsidRDefault="001577A4" w:rsidP="001577A4">
      <w:pPr>
        <w:pStyle w:val="DefaultParagraphFont"/>
        <w:widowControl w:val="0"/>
        <w:autoSpaceDE w:val="0"/>
        <w:autoSpaceDN w:val="0"/>
        <w:adjustRightInd w:val="0"/>
        <w:spacing w:after="0" w:line="347"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Con respecto a salud mental, el Estado cuenta con la </w:t>
      </w:r>
      <w:r w:rsidRPr="00E91CCE">
        <w:rPr>
          <w:rFonts w:ascii="Times New Roman" w:hAnsi="Times New Roman" w:cs="Times New Roman"/>
          <w:b/>
          <w:bCs/>
          <w:sz w:val="24"/>
          <w:szCs w:val="24"/>
          <w:lang w:val="es-ES"/>
        </w:rPr>
        <w:t>Política Nacional de Salud Mental</w:t>
      </w:r>
      <w:r w:rsidRPr="00E91CCE">
        <w:rPr>
          <w:rFonts w:ascii="Times New Roman" w:hAnsi="Times New Roman" w:cs="Times New Roman"/>
          <w:sz w:val="24"/>
          <w:szCs w:val="24"/>
          <w:lang w:val="es-ES"/>
        </w:rPr>
        <w:t xml:space="preserve"> </w:t>
      </w:r>
      <w:r w:rsidRPr="00E91CCE">
        <w:rPr>
          <w:rFonts w:ascii="Times New Roman" w:hAnsi="Times New Roman" w:cs="Times New Roman"/>
          <w:b/>
          <w:bCs/>
          <w:sz w:val="24"/>
          <w:szCs w:val="24"/>
          <w:lang w:val="es-ES"/>
        </w:rPr>
        <w:lastRenderedPageBreak/>
        <w:t xml:space="preserve">2012-2021 </w:t>
      </w:r>
      <w:r w:rsidRPr="00E91CCE">
        <w:rPr>
          <w:rFonts w:ascii="Times New Roman" w:hAnsi="Times New Roman" w:cs="Times New Roman"/>
          <w:sz w:val="24"/>
          <w:szCs w:val="24"/>
          <w:lang w:val="es-ES"/>
        </w:rPr>
        <w:t>formulada por el Ministerio de Salud. En ella se definen los principios,</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enfoques, lineamientos, el plan de acción de Salud Mental y el rumbo de los servicios que se prestan a la población y la necesidad de que sean cada vez más desconcentrados y en ambientes comunitarios. Para ello se plantea la creación de una red nacional de promoción y atención integral centrada en la comunidad. Entre los principios de la Política destacan la equidad, universalidad, solidaridad, igualdad sustantiva, ética, calidad y calidez, autonomía. En cuanto a sus enfoques, destacan el de Derechos Humanos, Género, Diversidad, Integración, Inclusión Social, Participación activa, Desarrollo Humano Sostenible y Evidencias científicas y buenas prácticas en Salud Mental.</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El Estado reconoce que </w:t>
      </w:r>
      <w:r w:rsidRPr="00E91CCE">
        <w:rPr>
          <w:rFonts w:ascii="Times New Roman" w:hAnsi="Times New Roman" w:cs="Times New Roman"/>
          <w:b/>
          <w:bCs/>
          <w:sz w:val="24"/>
          <w:szCs w:val="24"/>
          <w:lang w:val="es-ES"/>
        </w:rPr>
        <w:t>los derechos de las personas LGBTTTI</w:t>
      </w:r>
      <w:r w:rsidRPr="00E91CCE">
        <w:rPr>
          <w:rFonts w:ascii="Times New Roman" w:hAnsi="Times New Roman" w:cs="Times New Roman"/>
          <w:sz w:val="24"/>
          <w:szCs w:val="24"/>
          <w:lang w:val="es-ES"/>
        </w:rPr>
        <w:t xml:space="preserve"> es una de las áreas donde existen mayores desafíos. En este momento existen algunos proyectos de ley en corriente legislativa en relación con las uniones civiles entre personas del mismo sexo y la figura de las sociedades de convivencia, además de encontrarse en el proceso de la recolección de firmas para presentar un proyecto de ley de iniciativa popular sobre el matrimonio igualitario o de personas del mismo sexo. Sin embargo, la Sala Constitucional ha reconocido, entre otros aspectos, que las personas LGBTTTI tienen iguales derechos en lo que respecta a la visita de su pareja en los centros de privación de libertad, en ese sentido se declaró inconstitucional en octubre del año 2011, un artículo del Reglamento Técnico del Sistema Penitenciario en que se regulaban las visitas conyugales de manera discriminatoria para las parejas compuestas por personas del mismo sexo.</w:t>
      </w:r>
    </w:p>
    <w:p w:rsidR="001577A4" w:rsidRPr="00E91CCE" w:rsidRDefault="001577A4" w:rsidP="001577A4">
      <w:pPr>
        <w:pStyle w:val="DefaultParagraphFont"/>
        <w:widowControl w:val="0"/>
        <w:autoSpaceDE w:val="0"/>
        <w:autoSpaceDN w:val="0"/>
        <w:adjustRightInd w:val="0"/>
        <w:spacing w:after="0" w:line="2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Estado costarricense ha respaldado constantemente iniciativas internacionales en favor de personas LGBTTTI, como las aprobadas por el Consejo de Derechos Humanos y la Organización de Estados Americanos y ha otorgado el estatus de refugiado a personas procedentes de países de África y Centroamérica por haber sido perseguidas por su</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8" w:name="page8"/>
      <w:bookmarkEnd w:id="8"/>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sexualidad o identidad de género. No obstante lo anterior, el Estado costarricense reconoce que en esta materia, el mayor desafío que enfrenta es el cambio de paradigmas y actitudes culturales para favorecer y promover el respeto hacia la población LGBTTTI en todas las esferas.</w:t>
      </w:r>
    </w:p>
    <w:p w:rsidR="001577A4" w:rsidRPr="00E91CCE" w:rsidRDefault="001577A4" w:rsidP="001577A4">
      <w:pPr>
        <w:pStyle w:val="DefaultParagraphFont"/>
        <w:widowControl w:val="0"/>
        <w:autoSpaceDE w:val="0"/>
        <w:autoSpaceDN w:val="0"/>
        <w:adjustRightInd w:val="0"/>
        <w:spacing w:after="0" w:line="35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Es aquí donde se debe hacer referencia como una expresión de la violencia de género en la sociedad, la discriminación que sufren las personas LGBTTTI, que al desafiar los roles de género tradicionalmente masculinos y femeninos, se convierten también en víctimas de violencia física, sexual y psicológica que es invisibilizada socialmente por patrones culturales patriarcales. Por esta razón el esfuerzo en los centros educativos por erradicar estas conductas ha sido prioritario para el Ministerio de Educación Pública (MEP), con la creación del Protocolo Específico (julio de 2012) para el acoso, matonismo, o bullying y el cyberbullying en los Centros Educativos de Secundaria, que reconoce que existe como disparador de esta </w:t>
      </w:r>
      <w:r w:rsidRPr="00E91CCE">
        <w:rPr>
          <w:rFonts w:ascii="Times New Roman" w:hAnsi="Times New Roman" w:cs="Times New Roman"/>
          <w:sz w:val="24"/>
          <w:szCs w:val="24"/>
          <w:lang w:val="es-ES"/>
        </w:rPr>
        <w:lastRenderedPageBreak/>
        <w:t>conducta el irrespeto a la orientación sexual del otro, y establece la forma en que el problema debe ser abordado.</w:t>
      </w:r>
    </w:p>
    <w:p w:rsidR="001577A4" w:rsidRPr="00E91CCE" w:rsidRDefault="001577A4" w:rsidP="001577A4">
      <w:pPr>
        <w:pStyle w:val="DefaultParagraphFont"/>
        <w:widowControl w:val="0"/>
        <w:autoSpaceDE w:val="0"/>
        <w:autoSpaceDN w:val="0"/>
        <w:adjustRightInd w:val="0"/>
        <w:spacing w:after="0" w:line="34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Específicamente en el tema de </w:t>
      </w:r>
      <w:r w:rsidRPr="00E91CCE">
        <w:rPr>
          <w:rFonts w:ascii="Times New Roman" w:hAnsi="Times New Roman" w:cs="Times New Roman"/>
          <w:b/>
          <w:bCs/>
          <w:sz w:val="24"/>
          <w:szCs w:val="24"/>
          <w:lang w:val="es-ES"/>
        </w:rPr>
        <w:t>personas mayores de Costa Rica</w:t>
      </w:r>
      <w:r w:rsidRPr="00E91CCE">
        <w:rPr>
          <w:rFonts w:ascii="Times New Roman" w:hAnsi="Times New Roman" w:cs="Times New Roman"/>
          <w:sz w:val="24"/>
          <w:szCs w:val="24"/>
          <w:lang w:val="es-ES"/>
        </w:rPr>
        <w:t>, en el año 2012 se llevó a cabo la Tercera Conferencia nacional e internacional sobre los derechos de las personas mayores de América Latina y el Caribe, en la cual se adoptó la Carta de San José. Dicho instrumento señala el acuerdo de los países de mejorar los sistemas de protección social para que respondan efectivamente a las necesidades de las personas mayores, mediante el impulso de acciones en materia de seguridad social, salud y servicios sociales. Además se hace hincapié en las obligaciones de los Estados con respecto a un envejecimiento con dignidad y derechos, sobretodo la obligación de erradicar las múltiples formas de discriminación que afectan a las personas mayores, con énfasis en la discriminación basada en el género.</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Además se crea la X Política Nacional sobre Envejecimiento y Vejez 2011-2021, con 5 líneas estratégicas: 1- Protección social, ingresos y prevención de la pobreza. 2-abandono, abuso, maltrato en contra de las personas mayores. 3- participación social e integración intergeneracional. 4- consolidación de derechos. 5- salud integral. El reglamento respectivo se encuentra en proceso la elaboración.</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3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Políticas generales y Grupos específicos. </w:t>
      </w:r>
      <w:r w:rsidRPr="00E91CCE">
        <w:rPr>
          <w:rFonts w:ascii="Times New Roman" w:hAnsi="Times New Roman" w:cs="Times New Roman"/>
          <w:sz w:val="24"/>
          <w:szCs w:val="24"/>
          <w:lang w:val="es-ES"/>
        </w:rPr>
        <w:t>Entre los principales avances obtenidos en</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el primer año de ejecución del II Plan de Acción de la PIEG 2012-2014, destaca la ampliación de la cobertura de la Red de Cuido, al incluir niñas y niños menores de 5 años en servicios de cuido infantil gracias al fortalecimiento de alternativas existentes a través del Instituto Mixto de Ayuda Social (remodelaciones, ampliaciones de horarios y equipamiento) así como a la creación de nuevas opciones con aporte de municipalidades, organizaciones no gubernamentales y organizaciones privadas. Por otra parte cabe destacar la puesta en marcha del Programa “Red de Atención Progresiva para el Cuido Integral de las Personas adultas mayores en Costa Rica” mediante el Consejo Nacional</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9" w:name="page9"/>
      <w:bookmarkEnd w:id="9"/>
    </w:p>
    <w:p w:rsidR="001577A4" w:rsidRPr="00E91CCE" w:rsidRDefault="001577A4" w:rsidP="001577A4">
      <w:pPr>
        <w:pStyle w:val="DefaultParagraphFont"/>
        <w:widowControl w:val="0"/>
        <w:overflowPunct w:val="0"/>
        <w:autoSpaceDE w:val="0"/>
        <w:autoSpaceDN w:val="0"/>
        <w:adjustRightInd w:val="0"/>
        <w:spacing w:after="0" w:line="23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de la Persona Adulta Mayor (CONAPAM), ampliando las alternativas de ayuda para la población mayor en condición de pobreza y riesgo social.</w:t>
      </w:r>
    </w:p>
    <w:p w:rsidR="001577A4" w:rsidRPr="00E91CCE" w:rsidRDefault="001577A4" w:rsidP="001577A4">
      <w:pPr>
        <w:pStyle w:val="DefaultParagraphFont"/>
        <w:widowControl w:val="0"/>
        <w:autoSpaceDE w:val="0"/>
        <w:autoSpaceDN w:val="0"/>
        <w:adjustRightInd w:val="0"/>
        <w:spacing w:after="0" w:line="37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Especial atención merece la campaña sobre el cuido de niñas y niños, personas con discapacidad, personas enfermas y personas mayores, en el marco de la corresponsabilidad social de los cuidados, que involucra a la familia, la empresa privada y el Estado. Con estas iniciativas, el Estado reconoce que la carga del cuido de las personas vulnerables o en estado de vulnerabilidad como lo son personas con discapacidad, NNA y personas mayores, recae principalmente sobre las mujeres, lo que inhibe las posibilidades de que éstas trabajen fuera del hogar, tengan oportunidades laborales significativas para su desarrollo personal y tengan </w:t>
      </w:r>
      <w:r w:rsidRPr="00E91CCE">
        <w:rPr>
          <w:rFonts w:ascii="Times New Roman" w:hAnsi="Times New Roman" w:cs="Times New Roman"/>
          <w:sz w:val="24"/>
          <w:szCs w:val="24"/>
          <w:lang w:val="es-ES"/>
        </w:rPr>
        <w:lastRenderedPageBreak/>
        <w:t>en algunos casos que sustituir su plan de vida por satisfacer las necesidades de quienes están a su cargo.</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lo anterior es que estas medidas, no sólo favorecen a los grupos con esas necesidades, sino y de manera muy especial, a las mujeres, brindándoles la oportunidad de dedicar tiempo a satisfacer sus propias necesidades e intereses o procurarse una mejor calidad de vida, independencia y recursos económicos por medio del trabajo.</w:t>
      </w:r>
    </w:p>
    <w:p w:rsidR="001577A4" w:rsidRPr="00E91CCE" w:rsidRDefault="001577A4" w:rsidP="001577A4">
      <w:pPr>
        <w:pStyle w:val="DefaultParagraphFont"/>
        <w:widowControl w:val="0"/>
        <w:autoSpaceDE w:val="0"/>
        <w:autoSpaceDN w:val="0"/>
        <w:adjustRightInd w:val="0"/>
        <w:spacing w:after="0" w:line="347"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Violencia contra niñas, niños y adolescentes. </w:t>
      </w:r>
      <w:r w:rsidRPr="00E91CCE">
        <w:rPr>
          <w:rFonts w:ascii="Times New Roman" w:hAnsi="Times New Roman" w:cs="Times New Roman"/>
          <w:sz w:val="24"/>
          <w:szCs w:val="24"/>
          <w:lang w:val="es-ES"/>
        </w:rPr>
        <w:t>Una de las situaciones que más afectan</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a las personas menores de edad, son las situaciones de violencia intrafamiliar. Con el propósito de proteger a las personas menores de edad, se creó la Comisión Permanente para el seguimiento de la Atención y Prevención de la Violencia Intrafamiliar, en la cual participan varias instituciones públicas responsables de abordar la temática, el INAMU, Patronato Nacional de la Infancia (PANI), el Poder Judicial, y el CONAPAM.</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54"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medio del Ministerio de Planificación y Política Económica (MIDEPLAN), se está realizando, con la participación de las instituciones y organizaciones pertenecientes al Consejo Nacional de la Niñez y Adolescencia y organizaciones no gubernamentales, un</w:t>
      </w:r>
    </w:p>
    <w:p w:rsidR="001577A4" w:rsidRPr="00E91CCE" w:rsidRDefault="001577A4" w:rsidP="001577A4">
      <w:pPr>
        <w:pStyle w:val="DefaultParagraphFont"/>
        <w:widowControl w:val="0"/>
        <w:autoSpaceDE w:val="0"/>
        <w:autoSpaceDN w:val="0"/>
        <w:adjustRightInd w:val="0"/>
        <w:spacing w:after="0" w:line="6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55"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Plan de Acción para la Protección de Niñas, Niños y Adolescentes en Situación de Violencia </w:t>
      </w:r>
      <w:r w:rsidRPr="00E91CCE">
        <w:rPr>
          <w:rFonts w:ascii="Times New Roman" w:hAnsi="Times New Roman" w:cs="Times New Roman"/>
          <w:sz w:val="24"/>
          <w:szCs w:val="24"/>
          <w:lang w:val="es-ES"/>
        </w:rPr>
        <w:t>con especial atención al Informe Mundial de Violencia y a las recomendaciones</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del Comité de los Derechos del Niño para Costa Rica.</w:t>
      </w:r>
    </w:p>
    <w:p w:rsidR="001577A4" w:rsidRPr="00E91CCE" w:rsidRDefault="001577A4" w:rsidP="001577A4">
      <w:pPr>
        <w:pStyle w:val="DefaultParagraphFont"/>
        <w:widowControl w:val="0"/>
        <w:autoSpaceDE w:val="0"/>
        <w:autoSpaceDN w:val="0"/>
        <w:adjustRightInd w:val="0"/>
        <w:spacing w:after="0" w:line="35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Organizaciones de la Sociedad Civil promueven y constituyen el Grupo País para dar acompañamiento estratégico a la Institucionalidad Pública, en su capacidad para dar respuesta sistémica al fenómeno de la violencia hacia niñas, niños y adolescentes (NNA), desde el marco del Estudio de Naciones Unidas sobre la Violencia contra la Niñez, con incidencia en el logro de una Institucionalidad fortalecida para prevenir, atender, sancionar y reparar la violencia contra NNA, en los espacios de familia, trabajo, comunidad, escuela e institucionalidad. Asimismo desde hace tres años por iniciativa de la Sociedad Civil viene promoviéndose el Núcleo de trabajo en Violencia que da seguimiento a la Recomendación 2 del Estudio Mundial. En este núcleo participan ONGs, el PANI, Defensoría de los Habitantes y la Academia.</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0" w:name="page10"/>
      <w:bookmarkEnd w:id="10"/>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Existen además iniciativas y programas en el Poder Judicial, a través de su departamento de Trabajo Social y Psicología que aborda el tema de la explotación sexual con fines comerciales a niñas y niños, así como el Plan de Atención a la Violencia Infanto-Juvenil que trabaja temas de violencia contra niñas, niños y adolescentes y los encargados en atención inmediata con el fin de informar acerca de estos delitos e instar a su denuncia, o los programas de algunas Universidades Estatales como la Universidad Estatal a Distancia, para la capacitación de los miembros del Programa Agenda Joven y de la Comisión Institucional </w:t>
      </w:r>
      <w:r w:rsidRPr="00E91CCE">
        <w:rPr>
          <w:rFonts w:ascii="Times New Roman" w:hAnsi="Times New Roman" w:cs="Times New Roman"/>
          <w:sz w:val="24"/>
          <w:szCs w:val="24"/>
          <w:lang w:val="es-ES"/>
        </w:rPr>
        <w:lastRenderedPageBreak/>
        <w:t>de Prevención contra la Explotación Sexual Comercial Infantil, sobre el tema de trata de personas.</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otra parte, en la lucha contra la pornografía infantil, se crearon redes sociales para captación de jóvenes, que son utilizadas con el objetivo de enviar mensajes directos sobre derechos y posibles riesgos que enfrenta la población. A través de estas redes se detectan, confrontan y denuncian páginas web dedicadas a difundir material pornográfico. En este sentido, recientemente se aprobó una reforma al Código Penal en su artículo 167 ampliando el tipo penal a la tenencia o difusión por medios virtuales de material pornográfico que involucra a personas menores de edad.</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Políticas dirigidas al cumplimiento de los derechos. Educación: l</w:t>
      </w:r>
      <w:r w:rsidRPr="00E91CCE">
        <w:rPr>
          <w:rFonts w:ascii="Times New Roman" w:hAnsi="Times New Roman" w:cs="Times New Roman"/>
          <w:sz w:val="24"/>
          <w:szCs w:val="24"/>
          <w:lang w:val="es-ES"/>
        </w:rPr>
        <w:t>a educación para la</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sexualidad ha venido desarrollándose tanto en las actividades curriculares como las extracurriculares desde el MEP, desde el año 2001 por medio de la “Política de educación de la expresión de la sexualidad humana” que integra la temática de manera transversal en el currículo escolar. Sin embargo, fue en el año 2009 en el programa de estudios de Educación Cívica, que por primera vez se incluyen los componentes de identidad joven, identidad sexual y diversidad (interculturalidad).</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el año 2011 mediante decreto ejecutivo se aprueba el “Programa Convivir”, que busca promover el desarrollo de actividades participativas en los centros educativos para fortalecer las relaciones de convivencia en la comunidad educativa, así como propiciar relaciones basadas en el respeto, el disfrute de la diversidad, la participación y el sentido de pertenencia e identidad. Recientemente, en junio de 2012 el Consejo Superior de</w:t>
      </w:r>
    </w:p>
    <w:p w:rsidR="001577A4" w:rsidRPr="00E91CCE" w:rsidRDefault="001577A4" w:rsidP="001577A4">
      <w:pPr>
        <w:pStyle w:val="DefaultParagraphFont"/>
        <w:widowControl w:val="0"/>
        <w:autoSpaceDE w:val="0"/>
        <w:autoSpaceDN w:val="0"/>
        <w:adjustRightInd w:val="0"/>
        <w:spacing w:after="0" w:line="5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Educación aprueba el “Programa de Educación para la Afectividad y Sexualidad Integral” que se desarrolla en la asignatura de Ciencias del Tercer Ciclo de la Educación General Básica (7º, 8º y 9º años) y contempla el desarrollo de siete ejes temáticos: relaciones interpersonales; cultura, poder y responsabilidad; el placer como fuente de bienestar; género; la identidad psicosexual; salud reproductiva; derechos humanos.</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Cabe destacar que la implementación de estos programas ha sido acompañada de procesos de capacitación a docentes, con el fin de promover el manejo de contenidos y de nuevas formas de mediación pedagógica y de evaluación. También se han generado espacios de participación estudiantil para promover la reflexión sobre distintos temas que contribuyen al desarrollo personal y social de esta población. El desafío ahora consiste en fortalecer su implementación y ampliar la cobertura a todos los ciclos, desde preescolar hasta educación diversificada.</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5" w:lineRule="exact"/>
        <w:rPr>
          <w:rFonts w:ascii="Times New Roman" w:hAnsi="Times New Roman" w:cs="Times New Roman"/>
          <w:sz w:val="24"/>
          <w:szCs w:val="24"/>
          <w:lang w:val="es-ES"/>
        </w:rPr>
      </w:pPr>
      <w:bookmarkStart w:id="11" w:name="page11"/>
      <w:bookmarkEnd w:id="11"/>
    </w:p>
    <w:p w:rsidR="001577A4" w:rsidRPr="00E91CCE" w:rsidRDefault="001577A4" w:rsidP="001577A4">
      <w:pPr>
        <w:pStyle w:val="DefaultParagraphFont"/>
        <w:widowControl w:val="0"/>
        <w:overflowPunct w:val="0"/>
        <w:autoSpaceDE w:val="0"/>
        <w:autoSpaceDN w:val="0"/>
        <w:adjustRightInd w:val="0"/>
        <w:spacing w:after="0" w:line="272"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Salud: </w:t>
      </w:r>
      <w:r w:rsidRPr="00E91CCE">
        <w:rPr>
          <w:rFonts w:ascii="Times New Roman" w:hAnsi="Times New Roman" w:cs="Times New Roman"/>
          <w:sz w:val="24"/>
          <w:szCs w:val="24"/>
          <w:lang w:val="es-ES"/>
        </w:rPr>
        <w:t>Con respecto al fortalecimiento de la institucionalidad y el marco normativo que</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 xml:space="preserve">orienta las responsabilidades de las diferentes instituciones frente a la garantía del derecho a </w:t>
      </w:r>
      <w:r w:rsidRPr="00E91CCE">
        <w:rPr>
          <w:rFonts w:ascii="Times New Roman" w:hAnsi="Times New Roman" w:cs="Times New Roman"/>
          <w:sz w:val="24"/>
          <w:szCs w:val="24"/>
          <w:lang w:val="es-ES"/>
        </w:rPr>
        <w:lastRenderedPageBreak/>
        <w:t>la salud, a la vivencia de una sexualidad segura, informada y en corresponsabilidad, Costa Rica ha tenido avances. En el plano formal, ha suscrito y ratificado los principales tratados internacionales sobre derechos humanos y pertinentes a la materia de población y desarrollo, lo cual ha venido acompañado de la aprobación de normativa nacional que regula y facilita la ejecución de las disposiciones jurídicas internacionales. Aunado a esto, el Estado ha elaborado y puesto en marcha diversas políticas públicas, planes de acción y planes estratégicos, que buscan orientar la labor de las instituciones estatales según las necesidades identificadas en el proceso de construcción de esas medidas.</w:t>
      </w:r>
    </w:p>
    <w:p w:rsidR="001577A4" w:rsidRPr="00E91CCE" w:rsidRDefault="001577A4" w:rsidP="001577A4">
      <w:pPr>
        <w:pStyle w:val="DefaultParagraphFont"/>
        <w:widowControl w:val="0"/>
        <w:autoSpaceDE w:val="0"/>
        <w:autoSpaceDN w:val="0"/>
        <w:adjustRightInd w:val="0"/>
        <w:spacing w:after="0" w:line="34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ejemplo, el “Programa Convivir”, cuyo desafío ahora consiste en fortalecer la implementación y ampliar la cobertura a todos los ciclos, desde preescolar hasta educación diversificada, toma como punto de partida que la planificación familiar incide directamente en las posibilidades de desarrollo de las mujeres y que la realización del derecho a decidir de forma libre, informada y sin coacción sobre la propia fecundidad, continúa siendo un importante desafío.</w:t>
      </w:r>
    </w:p>
    <w:p w:rsidR="001577A4" w:rsidRPr="00E91CCE" w:rsidRDefault="001577A4" w:rsidP="001577A4">
      <w:pPr>
        <w:pStyle w:val="DefaultParagraphFont"/>
        <w:widowControl w:val="0"/>
        <w:autoSpaceDE w:val="0"/>
        <w:autoSpaceDN w:val="0"/>
        <w:adjustRightInd w:val="0"/>
        <w:spacing w:after="0" w:line="34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cuanto al mejoramiento del acceso a servicios de atención integral a la salud sexual y reproductiva, el desafío es incorporar como un elemento central la educación para la sexualidad. Lo anterior reviste importancia particular ya que en los últimos diez años, la incidencia y la prevalencia del VIH en Costa Rica ha experimentado una tendencia general ascendente. En ese sentido, el país continúa con la articulación interinstitucional en el Consejo Nacional de Atención Integral al VIH-SIDA (CONASIDA), que busca visibilizar y apoyar a las mujeres que trabajan con el tema, así como transversalizar el género en todos los proyectos y programas. Además, se trabaja en la capacitación, sensibilización y empoderamiento de las mujeres con VIH.</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Se inició un trabajo articulado, entre INAMU y la CCSS, dirigido a la población de mujeres indígenas de la zona sur del país, con el fin de apoyar las iniciativas de capacitación e información sobre el tema del VIH. Se participó en la revisión de la Ley General de VIH-Sida, la cual se encuentra en el Ministerio de Salud en revisión. Los datos evidencian la necesidad de redoblar esfuerzos en programas amplios, integrales en educación de la sexualidad, prevención de las Infecciones de Transmisión Sexual (ITS), incluido el VIH, y de servicios de calidad y amigables en salud sexual y reproductiva para las poblaciones adolescentes y jóvenes, que aseguren además el acceso ágil a métodos de protección, y que se ajusten a sus necesidades y características. De igual manera, desde un enfoque de diversidad, los servicios además deberían considerar las necesidades específicas de poblaciones sexualmente diversas.</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239" w:lineRule="auto"/>
        <w:rPr>
          <w:rFonts w:ascii="Times New Roman" w:hAnsi="Times New Roman" w:cs="Times New Roman"/>
          <w:sz w:val="24"/>
          <w:szCs w:val="24"/>
          <w:lang w:val="es-ES"/>
        </w:rPr>
      </w:pPr>
      <w:bookmarkStart w:id="12" w:name="page12"/>
      <w:bookmarkEnd w:id="12"/>
      <w:r w:rsidRPr="00E91CCE">
        <w:rPr>
          <w:rFonts w:ascii="Times New Roman" w:hAnsi="Times New Roman" w:cs="Times New Roman"/>
          <w:b/>
          <w:bCs/>
          <w:sz w:val="24"/>
          <w:szCs w:val="24"/>
          <w:lang w:val="es-ES"/>
        </w:rPr>
        <w:lastRenderedPageBreak/>
        <w:t>LEGISLACIÓN</w:t>
      </w:r>
    </w:p>
    <w:p w:rsidR="001577A4" w:rsidRPr="00E91CCE" w:rsidRDefault="001577A4" w:rsidP="001577A4">
      <w:pPr>
        <w:pStyle w:val="DefaultParagraphFont"/>
        <w:widowControl w:val="0"/>
        <w:autoSpaceDE w:val="0"/>
        <w:autoSpaceDN w:val="0"/>
        <w:adjustRightInd w:val="0"/>
        <w:spacing w:after="0" w:line="37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lastRenderedPageBreak/>
        <w:t xml:space="preserve">En junio de 2010, Costa Rica aprobó una reforma a la </w:t>
      </w:r>
      <w:r w:rsidRPr="00E91CCE">
        <w:rPr>
          <w:rFonts w:ascii="Times New Roman" w:hAnsi="Times New Roman" w:cs="Times New Roman"/>
          <w:b/>
          <w:bCs/>
          <w:sz w:val="24"/>
          <w:szCs w:val="24"/>
          <w:lang w:val="es-ES"/>
        </w:rPr>
        <w:t>“Ley Contra el Hostigamiento</w:t>
      </w:r>
      <w:r w:rsidRPr="00E91CCE">
        <w:rPr>
          <w:rFonts w:ascii="Times New Roman" w:hAnsi="Times New Roman" w:cs="Times New Roman"/>
          <w:sz w:val="24"/>
          <w:szCs w:val="24"/>
          <w:lang w:val="es-ES"/>
        </w:rPr>
        <w:t xml:space="preserve"> </w:t>
      </w:r>
      <w:r w:rsidRPr="00E91CCE">
        <w:rPr>
          <w:rFonts w:ascii="Times New Roman" w:hAnsi="Times New Roman" w:cs="Times New Roman"/>
          <w:b/>
          <w:bCs/>
          <w:sz w:val="24"/>
          <w:szCs w:val="24"/>
          <w:lang w:val="es-ES"/>
        </w:rPr>
        <w:t>Sexual en el Empleo y la Docencia”</w:t>
      </w:r>
      <w:r w:rsidRPr="00E91CCE">
        <w:rPr>
          <w:rFonts w:ascii="Times New Roman" w:hAnsi="Times New Roman" w:cs="Times New Roman"/>
          <w:sz w:val="24"/>
          <w:szCs w:val="24"/>
          <w:lang w:val="es-ES"/>
        </w:rPr>
        <w:t>, Ley N° 7476 de marzo de 1995, para mejorar su</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aplicabilidad. Esta reforma (Ley N° 8805) entre otras cosas, amplía el ámbito de aplicación a las relaciones entre personas servidoras y usuarias en el empleo y la docencia. La Ley prohíbe y sanciona el acoso u hostigamiento sexual en tanto, práctica discriminatoria por razón de sexo, en las relaciones laborales y en la docencia.</w:t>
      </w:r>
    </w:p>
    <w:p w:rsidR="001577A4" w:rsidRPr="00E91CCE" w:rsidRDefault="001577A4" w:rsidP="001577A4">
      <w:pPr>
        <w:pStyle w:val="DefaultParagraphFont"/>
        <w:widowControl w:val="0"/>
        <w:autoSpaceDE w:val="0"/>
        <w:autoSpaceDN w:val="0"/>
        <w:adjustRightInd w:val="0"/>
        <w:spacing w:after="0" w:line="303" w:lineRule="exact"/>
        <w:rPr>
          <w:rFonts w:ascii="Times New Roman" w:hAnsi="Times New Roman" w:cs="Times New Roman"/>
          <w:sz w:val="24"/>
          <w:szCs w:val="24"/>
          <w:lang w:val="es-ES"/>
        </w:rPr>
      </w:pPr>
    </w:p>
    <w:tbl>
      <w:tblPr>
        <w:tblW w:w="0" w:type="auto"/>
        <w:tblLayout w:type="fixed"/>
        <w:tblCellMar>
          <w:left w:w="0" w:type="dxa"/>
          <w:right w:w="0" w:type="dxa"/>
        </w:tblCellMar>
        <w:tblLook w:val="0000"/>
      </w:tblPr>
      <w:tblGrid>
        <w:gridCol w:w="6920"/>
        <w:gridCol w:w="520"/>
        <w:gridCol w:w="1180"/>
        <w:gridCol w:w="220"/>
      </w:tblGrid>
      <w:tr w:rsidR="001577A4" w:rsidRPr="00E91CCE" w:rsidTr="002E21D5">
        <w:tblPrEx>
          <w:tblCellMar>
            <w:top w:w="0" w:type="dxa"/>
            <w:left w:w="0" w:type="dxa"/>
            <w:bottom w:w="0" w:type="dxa"/>
            <w:right w:w="0" w:type="dxa"/>
          </w:tblCellMar>
        </w:tblPrEx>
        <w:trPr>
          <w:trHeight w:val="253"/>
        </w:trPr>
        <w:tc>
          <w:tcPr>
            <w:tcW w:w="8620" w:type="dxa"/>
            <w:gridSpan w:val="3"/>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rPr>
                <w:rFonts w:ascii="Times New Roman" w:hAnsi="Times New Roman" w:cs="Times New Roman"/>
                <w:sz w:val="24"/>
                <w:szCs w:val="24"/>
              </w:rPr>
            </w:pPr>
            <w:r w:rsidRPr="00E91CCE">
              <w:rPr>
                <w:rFonts w:ascii="Times New Roman" w:hAnsi="Times New Roman" w:cs="Times New Roman"/>
                <w:b/>
                <w:bCs/>
                <w:sz w:val="24"/>
                <w:szCs w:val="24"/>
                <w:lang w:val="es-ES"/>
              </w:rPr>
              <w:t xml:space="preserve">“Ley  contra  la Violencia  Doméstica”, </w:t>
            </w:r>
            <w:r w:rsidRPr="00E91CCE">
              <w:rPr>
                <w:rFonts w:ascii="Times New Roman" w:hAnsi="Times New Roman" w:cs="Times New Roman"/>
                <w:sz w:val="24"/>
                <w:szCs w:val="24"/>
                <w:lang w:val="es-ES"/>
              </w:rPr>
              <w:t xml:space="preserve">Ley N° 7586, de abril de 1996. </w:t>
            </w:r>
            <w:r w:rsidRPr="00E91CCE">
              <w:rPr>
                <w:rFonts w:ascii="Times New Roman" w:hAnsi="Times New Roman" w:cs="Times New Roman"/>
                <w:sz w:val="24"/>
                <w:szCs w:val="24"/>
              </w:rPr>
              <w:t>Establece</w:t>
            </w:r>
          </w:p>
        </w:tc>
        <w:tc>
          <w:tcPr>
            <w:tcW w:w="2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right"/>
              <w:rPr>
                <w:rFonts w:ascii="Times New Roman" w:hAnsi="Times New Roman" w:cs="Times New Roman"/>
                <w:sz w:val="24"/>
                <w:szCs w:val="24"/>
              </w:rPr>
            </w:pPr>
            <w:r w:rsidRPr="00E91CCE">
              <w:rPr>
                <w:rFonts w:ascii="Times New Roman" w:hAnsi="Times New Roman" w:cs="Times New Roman"/>
                <w:sz w:val="24"/>
                <w:szCs w:val="24"/>
              </w:rPr>
              <w:t>y</w:t>
            </w:r>
          </w:p>
        </w:tc>
      </w:tr>
      <w:tr w:rsidR="001577A4" w:rsidRPr="00E91CCE" w:rsidTr="002E21D5">
        <w:tblPrEx>
          <w:tblCellMar>
            <w:top w:w="0" w:type="dxa"/>
            <w:left w:w="0" w:type="dxa"/>
            <w:bottom w:w="0" w:type="dxa"/>
            <w:right w:w="0" w:type="dxa"/>
          </w:tblCellMar>
        </w:tblPrEx>
        <w:trPr>
          <w:trHeight w:val="295"/>
        </w:trPr>
        <w:tc>
          <w:tcPr>
            <w:tcW w:w="69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rPr>
                <w:rFonts w:ascii="Times New Roman" w:hAnsi="Times New Roman" w:cs="Times New Roman"/>
                <w:sz w:val="24"/>
                <w:szCs w:val="24"/>
                <w:lang w:val="es-ES"/>
              </w:rPr>
            </w:pPr>
            <w:r w:rsidRPr="00E91CCE">
              <w:rPr>
                <w:rFonts w:ascii="Times New Roman" w:hAnsi="Times New Roman" w:cs="Times New Roman"/>
                <w:sz w:val="24"/>
                <w:szCs w:val="24"/>
                <w:lang w:val="es-ES"/>
              </w:rPr>
              <w:t>regula  la  aplicación  de  las  medidas  de  protección  necesarias</w:t>
            </w:r>
          </w:p>
        </w:tc>
        <w:tc>
          <w:tcPr>
            <w:tcW w:w="5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center"/>
              <w:rPr>
                <w:rFonts w:ascii="Times New Roman" w:hAnsi="Times New Roman" w:cs="Times New Roman"/>
                <w:sz w:val="24"/>
                <w:szCs w:val="24"/>
              </w:rPr>
            </w:pPr>
            <w:r w:rsidRPr="00E91CCE">
              <w:rPr>
                <w:rFonts w:ascii="Times New Roman" w:hAnsi="Times New Roman" w:cs="Times New Roman"/>
                <w:w w:val="99"/>
                <w:sz w:val="24"/>
                <w:szCs w:val="24"/>
              </w:rPr>
              <w:t>para</w:t>
            </w:r>
          </w:p>
        </w:tc>
        <w:tc>
          <w:tcPr>
            <w:tcW w:w="118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ind w:left="80"/>
              <w:rPr>
                <w:rFonts w:ascii="Times New Roman" w:hAnsi="Times New Roman" w:cs="Times New Roman"/>
                <w:sz w:val="24"/>
                <w:szCs w:val="24"/>
              </w:rPr>
            </w:pPr>
            <w:r w:rsidRPr="00E91CCE">
              <w:rPr>
                <w:rFonts w:ascii="Times New Roman" w:hAnsi="Times New Roman" w:cs="Times New Roman"/>
                <w:sz w:val="24"/>
                <w:szCs w:val="24"/>
              </w:rPr>
              <w:t>garantizar</w:t>
            </w:r>
          </w:p>
        </w:tc>
        <w:tc>
          <w:tcPr>
            <w:tcW w:w="2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right"/>
              <w:rPr>
                <w:rFonts w:ascii="Times New Roman" w:hAnsi="Times New Roman" w:cs="Times New Roman"/>
                <w:sz w:val="24"/>
                <w:szCs w:val="24"/>
              </w:rPr>
            </w:pPr>
            <w:r w:rsidRPr="00E91CCE">
              <w:rPr>
                <w:rFonts w:ascii="Times New Roman" w:hAnsi="Times New Roman" w:cs="Times New Roman"/>
                <w:sz w:val="24"/>
                <w:szCs w:val="24"/>
              </w:rPr>
              <w:t>la</w:t>
            </w:r>
          </w:p>
        </w:tc>
      </w:tr>
      <w:tr w:rsidR="001577A4" w:rsidRPr="00E91CCE" w:rsidTr="002E21D5">
        <w:tblPrEx>
          <w:tblCellMar>
            <w:top w:w="0" w:type="dxa"/>
            <w:left w:w="0" w:type="dxa"/>
            <w:bottom w:w="0" w:type="dxa"/>
            <w:right w:w="0" w:type="dxa"/>
          </w:tblCellMar>
        </w:tblPrEx>
        <w:trPr>
          <w:trHeight w:val="290"/>
        </w:trPr>
        <w:tc>
          <w:tcPr>
            <w:tcW w:w="8620" w:type="dxa"/>
            <w:gridSpan w:val="3"/>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rPr>
                <w:rFonts w:ascii="Times New Roman" w:hAnsi="Times New Roman" w:cs="Times New Roman"/>
                <w:sz w:val="24"/>
                <w:szCs w:val="24"/>
                <w:lang w:val="es-ES"/>
              </w:rPr>
            </w:pPr>
            <w:r w:rsidRPr="00E91CCE">
              <w:rPr>
                <w:rFonts w:ascii="Times New Roman" w:hAnsi="Times New Roman" w:cs="Times New Roman"/>
                <w:sz w:val="24"/>
                <w:szCs w:val="24"/>
                <w:lang w:val="es-ES"/>
              </w:rPr>
              <w:t>vida,  integridad  y  dignidad  de  las víctimas de la violencia doméstica, especialmente</w:t>
            </w:r>
          </w:p>
        </w:tc>
        <w:tc>
          <w:tcPr>
            <w:tcW w:w="2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right"/>
              <w:rPr>
                <w:rFonts w:ascii="Times New Roman" w:hAnsi="Times New Roman" w:cs="Times New Roman"/>
                <w:sz w:val="24"/>
                <w:szCs w:val="24"/>
              </w:rPr>
            </w:pPr>
            <w:r w:rsidRPr="00E91CCE">
              <w:rPr>
                <w:rFonts w:ascii="Times New Roman" w:hAnsi="Times New Roman" w:cs="Times New Roman"/>
                <w:sz w:val="24"/>
                <w:szCs w:val="24"/>
              </w:rPr>
              <w:t>a</w:t>
            </w:r>
          </w:p>
        </w:tc>
      </w:tr>
      <w:tr w:rsidR="001577A4" w:rsidRPr="00E91CCE" w:rsidTr="002E21D5">
        <w:tblPrEx>
          <w:tblCellMar>
            <w:top w:w="0" w:type="dxa"/>
            <w:left w:w="0" w:type="dxa"/>
            <w:bottom w:w="0" w:type="dxa"/>
            <w:right w:w="0" w:type="dxa"/>
          </w:tblCellMar>
        </w:tblPrEx>
        <w:trPr>
          <w:trHeight w:val="290"/>
        </w:trPr>
        <w:tc>
          <w:tcPr>
            <w:tcW w:w="69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rPr>
                <w:rFonts w:ascii="Times New Roman" w:hAnsi="Times New Roman" w:cs="Times New Roman"/>
                <w:sz w:val="24"/>
                <w:szCs w:val="24"/>
                <w:lang w:val="es-ES"/>
              </w:rPr>
            </w:pPr>
            <w:r w:rsidRPr="00E91CCE">
              <w:rPr>
                <w:rFonts w:ascii="Times New Roman" w:hAnsi="Times New Roman" w:cs="Times New Roman"/>
                <w:sz w:val="24"/>
                <w:szCs w:val="24"/>
                <w:lang w:val="es-ES"/>
              </w:rPr>
              <w:t>las  víctimas  de violencia  en  las  relaciones  de pareja  y  en  las</w:t>
            </w:r>
          </w:p>
        </w:tc>
        <w:tc>
          <w:tcPr>
            <w:tcW w:w="5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center"/>
              <w:rPr>
                <w:rFonts w:ascii="Times New Roman" w:hAnsi="Times New Roman" w:cs="Times New Roman"/>
                <w:sz w:val="24"/>
                <w:szCs w:val="24"/>
              </w:rPr>
            </w:pPr>
            <w:r w:rsidRPr="00E91CCE">
              <w:rPr>
                <w:rFonts w:ascii="Times New Roman" w:hAnsi="Times New Roman" w:cs="Times New Roman"/>
                <w:w w:val="97"/>
                <w:sz w:val="24"/>
                <w:szCs w:val="24"/>
              </w:rPr>
              <w:t>que</w:t>
            </w:r>
          </w:p>
        </w:tc>
        <w:tc>
          <w:tcPr>
            <w:tcW w:w="1400" w:type="dxa"/>
            <w:gridSpan w:val="2"/>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jc w:val="right"/>
              <w:rPr>
                <w:rFonts w:ascii="Times New Roman" w:hAnsi="Times New Roman" w:cs="Times New Roman"/>
                <w:sz w:val="24"/>
                <w:szCs w:val="24"/>
              </w:rPr>
            </w:pPr>
            <w:r w:rsidRPr="00E91CCE">
              <w:rPr>
                <w:rFonts w:ascii="Times New Roman" w:hAnsi="Times New Roman" w:cs="Times New Roman"/>
                <w:sz w:val="24"/>
                <w:szCs w:val="24"/>
              </w:rPr>
              <w:t>exista  abuso</w:t>
            </w:r>
          </w:p>
        </w:tc>
      </w:tr>
      <w:tr w:rsidR="001577A4" w:rsidRPr="00E91CCE" w:rsidTr="002E21D5">
        <w:tblPrEx>
          <w:tblCellMar>
            <w:top w:w="0" w:type="dxa"/>
            <w:left w:w="0" w:type="dxa"/>
            <w:bottom w:w="0" w:type="dxa"/>
            <w:right w:w="0" w:type="dxa"/>
          </w:tblCellMar>
        </w:tblPrEx>
        <w:trPr>
          <w:trHeight w:val="290"/>
        </w:trPr>
        <w:tc>
          <w:tcPr>
            <w:tcW w:w="69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52" w:lineRule="exact"/>
              <w:rPr>
                <w:rFonts w:ascii="Times New Roman" w:hAnsi="Times New Roman" w:cs="Times New Roman"/>
                <w:sz w:val="24"/>
                <w:szCs w:val="24"/>
                <w:lang w:val="es-ES"/>
              </w:rPr>
            </w:pPr>
            <w:r w:rsidRPr="00E91CCE">
              <w:rPr>
                <w:rFonts w:ascii="Times New Roman" w:hAnsi="Times New Roman" w:cs="Times New Roman"/>
                <w:w w:val="99"/>
                <w:sz w:val="24"/>
                <w:szCs w:val="24"/>
                <w:lang w:val="es-ES"/>
              </w:rPr>
              <w:t>sexual incestuoso.  Esta Ley se reforma en marzo de 2011 (Ley 8925).</w:t>
            </w:r>
          </w:p>
        </w:tc>
        <w:tc>
          <w:tcPr>
            <w:tcW w:w="5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p>
        </w:tc>
        <w:tc>
          <w:tcPr>
            <w:tcW w:w="118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p>
        </w:tc>
        <w:tc>
          <w:tcPr>
            <w:tcW w:w="220" w:type="dxa"/>
            <w:tcBorders>
              <w:top w:val="nil"/>
              <w:left w:val="nil"/>
              <w:bottom w:val="nil"/>
              <w:right w:val="nil"/>
            </w:tcBorders>
            <w:vAlign w:val="bottom"/>
          </w:tcPr>
          <w:p w:rsidR="001577A4" w:rsidRPr="00E91CCE" w:rsidRDefault="001577A4" w:rsidP="002E21D5">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p>
        </w:tc>
      </w:tr>
    </w:tbl>
    <w:p w:rsidR="001577A4" w:rsidRPr="00E91CCE" w:rsidRDefault="001577A4" w:rsidP="001577A4">
      <w:pPr>
        <w:pStyle w:val="DefaultParagraphFont"/>
        <w:widowControl w:val="0"/>
        <w:autoSpaceDE w:val="0"/>
        <w:autoSpaceDN w:val="0"/>
        <w:adjustRightInd w:val="0"/>
        <w:spacing w:after="0" w:line="375"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reforma a la Ley de Violencia Doméstica obliga a distintas instancias del Estado a ampliar la oferta de servicios para la protección y atención especializada de mujeres en situaciones de violencia intrafamiliar, tales como el asesoramiento jurídico, acompañamiento y representación legal. La reforma a la Ley de Hostigamiento sexual, amplía el espacio de protección a las mujeres en el ámbito público (tanto en el sector público como en el privado), tales como el trabajo, instituciones educativas, establecimientos de salud y otros lugares en los que se manifiesten actos de violencia tales como la violación, el abuso sexual, la tortura, la trata de personas, la prostitución forzada, entre otros. Su objetivo es prohibir y sancionar el hostigamiento sexual como práctica discriminatoria por razón de género.</w:t>
      </w:r>
    </w:p>
    <w:p w:rsidR="001577A4" w:rsidRPr="00E91CCE" w:rsidRDefault="001577A4" w:rsidP="001577A4">
      <w:pPr>
        <w:pStyle w:val="DefaultParagraphFont"/>
        <w:widowControl w:val="0"/>
        <w:autoSpaceDE w:val="0"/>
        <w:autoSpaceDN w:val="0"/>
        <w:adjustRightInd w:val="0"/>
        <w:spacing w:after="0" w:line="34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“Ley contra la Explotación Sexual de las Personas Menores”, </w:t>
      </w:r>
      <w:r w:rsidRPr="00E91CCE">
        <w:rPr>
          <w:rFonts w:ascii="Times New Roman" w:hAnsi="Times New Roman" w:cs="Times New Roman"/>
          <w:sz w:val="24"/>
          <w:szCs w:val="24"/>
          <w:lang w:val="es-ES"/>
        </w:rPr>
        <w:t>Ley N° 7899 de</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agosto de 1999. Esta ley reforma el Código Penal de la República de Costa Rica (Ley N° 4573 de mayo de 1970) en lo relativo a los delitos de violación, relaciones sexuales con personas menores de edad, relaciones sexuales remuneradas con personas menores de edad, abusos sexuales contra personas menores de edad, abusos sexuales contra personas mayores de edad, corrupción, corrupción agravada, proxenetismo, proxenetismo agravado, rufianería, trata de personas, fabricación o producción de pornografía y difusión de pornografía.</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37"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 xml:space="preserve">Ley N° 8571, </w:t>
      </w:r>
      <w:r w:rsidRPr="00E91CCE">
        <w:rPr>
          <w:rFonts w:ascii="Times New Roman" w:hAnsi="Times New Roman" w:cs="Times New Roman"/>
          <w:sz w:val="24"/>
          <w:szCs w:val="24"/>
          <w:lang w:val="es-ES"/>
        </w:rPr>
        <w:t>que prohíbe el matrimonio con las personas menores de 15 años,</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aprobada en enero de 2007 y publicada en marzo de 2007.</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333"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Por su parte, la </w:t>
      </w:r>
      <w:r w:rsidRPr="00E91CCE">
        <w:rPr>
          <w:rFonts w:ascii="Times New Roman" w:hAnsi="Times New Roman" w:cs="Times New Roman"/>
          <w:b/>
          <w:bCs/>
          <w:sz w:val="24"/>
          <w:szCs w:val="24"/>
          <w:lang w:val="es-ES"/>
        </w:rPr>
        <w:t>“Ley de Penalización de la Violencia contra las Mujeres”</w:t>
      </w:r>
      <w:r w:rsidRPr="00E91CCE">
        <w:rPr>
          <w:rFonts w:ascii="Times New Roman" w:hAnsi="Times New Roman" w:cs="Times New Roman"/>
          <w:sz w:val="24"/>
          <w:szCs w:val="24"/>
          <w:lang w:val="es-ES"/>
        </w:rPr>
        <w:t xml:space="preserve"> – Ley N° 8589, del año 2007, es una ley penal específica que adiciona 17 delitos al Código Penal y eleva a este rango conductas directamente vinculadas con la violencia hacia las mujeres como los delitos de femicidio, maltrato y los de violencia emocional. El INAMU ha establecido una Comisión de Trabajo de Alto Nivel, para el seguimiento del cumplimiento de la Ley de </w:t>
      </w:r>
      <w:r w:rsidRPr="00E91CCE">
        <w:rPr>
          <w:rFonts w:ascii="Times New Roman" w:hAnsi="Times New Roman" w:cs="Times New Roman"/>
          <w:sz w:val="24"/>
          <w:szCs w:val="24"/>
          <w:lang w:val="es-ES"/>
        </w:rPr>
        <w:lastRenderedPageBreak/>
        <w:t>Penalización de la Violencia contra las Mujeres. Este es un espacio de</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3" w:name="page13"/>
      <w:bookmarkEnd w:id="13"/>
    </w:p>
    <w:p w:rsidR="001577A4" w:rsidRPr="00E91CCE" w:rsidRDefault="001577A4" w:rsidP="001577A4">
      <w:pPr>
        <w:pStyle w:val="DefaultParagraphFont"/>
        <w:widowControl w:val="0"/>
        <w:overflowPunct w:val="0"/>
        <w:autoSpaceDE w:val="0"/>
        <w:autoSpaceDN w:val="0"/>
        <w:adjustRightInd w:val="0"/>
        <w:spacing w:after="0" w:line="254"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coordinación interinstitucional donde se le sigue el pulso a las acciones, tanto judiciales como administrativas, diseñadas para ir dando respuesta a los problemas de aplicación de un instrumento jurídico que incluye respuestas novedosas.</w:t>
      </w:r>
    </w:p>
    <w:p w:rsidR="001577A4" w:rsidRPr="00E91CCE" w:rsidRDefault="001577A4" w:rsidP="001577A4">
      <w:pPr>
        <w:pStyle w:val="DefaultParagraphFont"/>
        <w:widowControl w:val="0"/>
        <w:autoSpaceDE w:val="0"/>
        <w:autoSpaceDN w:val="0"/>
        <w:adjustRightInd w:val="0"/>
        <w:spacing w:after="0" w:line="23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Comisión redactó un Protocolo Interinstitucional de Intervención y Valoración de Riesgo en Situaciones de Violencia Contra las Mujeres, como un instrumento para la intervención en situaciones de violencia que requieren de una actuación integral, coordinada y articulada por parte de las instituciones estatales que tienen responsabilidad en la respuesta a esta problemática. La Secretaría Técnica del Sistema Nacional, ubicada en el Área de Violencia de Género del Instituto Nacional de las Mujeres, INAMU, diseñó un sistema de indicadores para monitorear el cumplimiento de los compromisos institucionales ahí establecidos.</w:t>
      </w:r>
    </w:p>
    <w:p w:rsidR="001577A4" w:rsidRPr="00E91CCE" w:rsidRDefault="001577A4" w:rsidP="001577A4">
      <w:pPr>
        <w:pStyle w:val="DefaultParagraphFont"/>
        <w:widowControl w:val="0"/>
        <w:autoSpaceDE w:val="0"/>
        <w:autoSpaceDN w:val="0"/>
        <w:adjustRightInd w:val="0"/>
        <w:spacing w:after="0" w:line="21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 partir del 2012 se inició una investigación sobre el acceso efectivo y oportuno de las mujeres a la justicia penal en el marco de la Ley de Penalización de la Violencia contra las mujeres; este proceso continúa en el 2014 con el objetivo de identificar los principales nudos críticos existentes en la aplicación de esta normativa.</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labor del INAMU ha contribuido a posicionar temas de importancia como formas emergentes de violencia contra las mujeres, por ejemplo las vinculadas con el crimen organizado y la trata de mujeres, y se contribuyó a la ampliación de la definición de femicidio que utiliza el Poder Judicial, adecuándola a la Convención Belém do Pará.</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su parte, la Ley de Penalización de la Violencia contra las Mujeres fue modificada, y se le adicionaron los artículos 22 y 25 por medio de los cuales se tipifica el maltrato y las ofensas como delitos. Asimismo, en el año 2011 se aprobó la Ley 8925 que modifica la Ley contra la Violencia Doméstica, creando un registro interno de agresores a cargo del Poder Judicial, amplía el plazo inicial de las medidas de protección de seis meses a un año, evitando gestiones por parte de la víctima, se fortalece el acceso a la justicia de las víctimas mediante el acompañamiento, asesoramiento, coadyuvancias y permite que las autoridades penales apliquen las medidas en ausencia de los juzgados de violencia doméstica especializadas.</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cuanto a la atención interinstitucional de mujeres víctimas de violencia destaca la puesta en operación de la Plataforma Integral de Servicios de Atención a Víctimas de Violencia (PISAV), como un mecanismo de articulación de los servicios del Poder Judicial dirigidos a esta población. Asimismo, el Sistema Unificado de Medición Estadística de la Violencia de Género en Costa Rica que tiene como objetivo general “definir, construir y mantener un sistema de información a partir de la homologación de registros y la construcción de indicadores claves y consensuados que permita mostrar la dimensión de la violencia de género”.</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54"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Existe en el país registro sistemático de los femicidios desde el año 1990. Según estadísticas del Poder Judicial, a partir del año 2012 se ha presentado una disminución significativa de femicidios, al finalizar ese año se contabilizó 18 muertes de mujeres por</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4" w:name="page14"/>
      <w:bookmarkEnd w:id="14"/>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razones de género, mientras que entre los años 2008 y 2011 se venía presentando un promedio de 38.75 femicidios anuales. Ante la consigna “ni una muerte más”, se definió a inicios del año 2013 un plan de emergencia para disminuir las muertes de las mujeres por razones de género, el cual contiene desde acciones inmediatas, como un “kit de emergencia” hasta acciones en el mediano plazo orientadas a definir nuevas políticas de prevención del femicidio.</w:t>
      </w:r>
    </w:p>
    <w:p w:rsidR="001577A4" w:rsidRPr="00E91CCE" w:rsidRDefault="001577A4" w:rsidP="001577A4">
      <w:pPr>
        <w:pStyle w:val="DefaultParagraphFont"/>
        <w:widowControl w:val="0"/>
        <w:autoSpaceDE w:val="0"/>
        <w:autoSpaceDN w:val="0"/>
        <w:adjustRightInd w:val="0"/>
        <w:spacing w:after="0" w:line="34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Como una manera de fortalecer la plataforma de servicios de atención a mujeres víctimas de violencia, en particular en el nivel regional, a partir de mayo del año 2013 se amplió la cobertura en atención legal y psicosocial en las sedes Regionales del INAMU en el Pacífico y en el Atlántico. Asimismo se dispuso el servicio de asesoría legal en materia de violencia doméstica en las cabeceras de cuatro provincias. También se está trabajando en el fortalecimiento de los CEAAM (Centros Especializados de Atención y Albergue para Mujeres sus hijos e hijas) como servicio de atención de mujeres en riesgo de muerte.</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Estado costarricense participa activamente en los espacios internacionales de coordinación, generación de planes de acción y su seguimiento; por ejemplo, el Consejo de Ministras de la Mujer de Centroamérica y República Dominicana (COMMCA), el Sistema de la Integración Centroamericana (SICA) mediante un Plan Regional de Violencia contra las Mujeres, el mecanismo MESECVI para el seguimiento de la Convención de Belém do Pará, así como el seguimiento de la Convención CEDAW, todas instancias dirigidas a garantizar a las mujeres la protección y el ejercicio pleno de sus derechos humanos.</w:t>
      </w:r>
    </w:p>
    <w:p w:rsidR="001577A4" w:rsidRPr="00E91CCE" w:rsidRDefault="001577A4" w:rsidP="001577A4">
      <w:pPr>
        <w:pStyle w:val="DefaultParagraphFont"/>
        <w:widowControl w:val="0"/>
        <w:autoSpaceDE w:val="0"/>
        <w:autoSpaceDN w:val="0"/>
        <w:adjustRightInd w:val="0"/>
        <w:spacing w:after="0" w:line="306"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r w:rsidRPr="00E91CCE">
        <w:rPr>
          <w:rFonts w:ascii="Times New Roman" w:hAnsi="Times New Roman" w:cs="Times New Roman"/>
          <w:sz w:val="24"/>
          <w:szCs w:val="24"/>
          <w:lang w:val="es-ES"/>
        </w:rPr>
        <w:t>En octubre  de  2012,  Costa Rica aprobó una ley integral contra la trata de personas,</w:t>
      </w:r>
    </w:p>
    <w:p w:rsidR="001577A4" w:rsidRPr="00E91CCE" w:rsidRDefault="001577A4" w:rsidP="001577A4">
      <w:pPr>
        <w:pStyle w:val="DefaultParagraphFont"/>
        <w:widowControl w:val="0"/>
        <w:autoSpaceDE w:val="0"/>
        <w:autoSpaceDN w:val="0"/>
        <w:adjustRightInd w:val="0"/>
        <w:spacing w:after="0" w:line="35"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r w:rsidRPr="00E91CCE">
        <w:rPr>
          <w:rFonts w:ascii="Times New Roman" w:hAnsi="Times New Roman" w:cs="Times New Roman"/>
          <w:b/>
          <w:bCs/>
          <w:sz w:val="24"/>
          <w:szCs w:val="24"/>
          <w:lang w:val="es-ES"/>
        </w:rPr>
        <w:t>“Ley contra la Trata de Personas y Creación de la Coalición Nacional contra el</w:t>
      </w:r>
    </w:p>
    <w:p w:rsidR="001577A4" w:rsidRPr="00E91CCE" w:rsidRDefault="001577A4" w:rsidP="001577A4">
      <w:pPr>
        <w:pStyle w:val="DefaultParagraphFont"/>
        <w:widowControl w:val="0"/>
        <w:autoSpaceDE w:val="0"/>
        <w:autoSpaceDN w:val="0"/>
        <w:adjustRightInd w:val="0"/>
        <w:spacing w:after="0" w:line="8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6" w:lineRule="auto"/>
        <w:jc w:val="both"/>
        <w:rPr>
          <w:rFonts w:ascii="Times New Roman" w:hAnsi="Times New Roman" w:cs="Times New Roman"/>
          <w:sz w:val="24"/>
          <w:szCs w:val="24"/>
          <w:lang w:val="es-ES"/>
        </w:rPr>
      </w:pPr>
      <w:r w:rsidRPr="00E91CCE">
        <w:rPr>
          <w:rFonts w:ascii="Times New Roman" w:hAnsi="Times New Roman" w:cs="Times New Roman"/>
          <w:b/>
          <w:bCs/>
          <w:sz w:val="24"/>
          <w:szCs w:val="24"/>
          <w:lang w:val="es-ES"/>
        </w:rPr>
        <w:t>Tráfico Ilícito de Migrantes y Trata de Personas CONATT”</w:t>
      </w:r>
      <w:r w:rsidRPr="00E91CCE">
        <w:rPr>
          <w:rFonts w:ascii="Times New Roman" w:hAnsi="Times New Roman" w:cs="Times New Roman"/>
          <w:sz w:val="24"/>
          <w:szCs w:val="24"/>
          <w:lang w:val="es-ES"/>
        </w:rPr>
        <w:t>, N° 9095, publicada en La</w:t>
      </w:r>
      <w:r w:rsidRPr="00E91CCE">
        <w:rPr>
          <w:rFonts w:ascii="Times New Roman" w:hAnsi="Times New Roman" w:cs="Times New Roman"/>
          <w:b/>
          <w:bCs/>
          <w:sz w:val="24"/>
          <w:szCs w:val="24"/>
          <w:lang w:val="es-ES"/>
        </w:rPr>
        <w:t xml:space="preserve"> </w:t>
      </w:r>
      <w:r w:rsidRPr="00E91CCE">
        <w:rPr>
          <w:rFonts w:ascii="Times New Roman" w:hAnsi="Times New Roman" w:cs="Times New Roman"/>
          <w:sz w:val="24"/>
          <w:szCs w:val="24"/>
          <w:lang w:val="es-ES"/>
        </w:rPr>
        <w:t>Gaceta N° 28 de febrero de 2013. Esta ley no solo es congruente con el Protocolo de Palermo si no que amplía los alcances de éste al tipificar como trata de personas la trata interna y convertir los medios en agravantes y no parte de la tipificación principal y facilitar así la persecución del delito.</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Este instrumento jurídico que visibiliza no solo el delito de la trata de personas en su concepto más amplio - actos de prostitución o explotación, servidumbre, ya sea sexual o laboral, esclavitud, trabajos o servicios forzados, matrimonio servil, mendicidad forzada, extracción ilícita de órganos o adopción irregular -, es también una ley pionera en su amplia </w:t>
      </w:r>
      <w:r w:rsidRPr="00E91CCE">
        <w:rPr>
          <w:rFonts w:ascii="Times New Roman" w:hAnsi="Times New Roman" w:cs="Times New Roman"/>
          <w:sz w:val="24"/>
          <w:szCs w:val="24"/>
          <w:lang w:val="es-ES"/>
        </w:rPr>
        <w:lastRenderedPageBreak/>
        <w:t>descripción de disposiciones que favorecen la aplicación de principios fundamentales y fuentes de interpretación de instrumentos internacionales y nacionales de derechos humanos reconocidos de manera explícita en la ley, tales como igualdad y no discriminación, no re victimización, proporcionalidad y necesidad, entre otros.</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5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el capítulo III de la ley se crea la Coalición Nacional contra el Tráfico Ilícito de Migrantes y la Trata de Personas. Su fin es promover la formulación, ejecución, el seguimiento y la evaluación de políticas públicas nacionales, regionales y locales, para la</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5" w:name="page15"/>
      <w:bookmarkEnd w:id="15"/>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prevención del tráfico ilícito y la trata de personas, la atención y protección de las víctimas, y la persecución y sanción de los responsables. Además esta ley plantea el establecimiento de una Política Nacional contra la trata de personas. La Coalición la componen 21 instituciones públicas, su trabajo está dividido en 4 Comisiones (Atención, Prevención, Procuración de Justicia y la de Información, Análisis e Investigación).</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Ley contra la Trata de Personas crea el Fondo Nacional de Prevención y Atención a Víctimas de Trata (FONATT) como órgano permanente para la promoción de políticas para la prevención y atención de la trata. Se financia mediante el cobro de un dólar (1$) adicional al impuesto de salida del país, mismo que se encuentra activo desde la fecha de promulgación de la ley en febrero de 2013.</w:t>
      </w:r>
    </w:p>
    <w:p w:rsidR="001577A4" w:rsidRPr="00E91CCE" w:rsidRDefault="001577A4" w:rsidP="001577A4">
      <w:pPr>
        <w:pStyle w:val="DefaultParagraphFont"/>
        <w:widowControl w:val="0"/>
        <w:autoSpaceDE w:val="0"/>
        <w:autoSpaceDN w:val="0"/>
        <w:adjustRightInd w:val="0"/>
        <w:spacing w:after="0" w:line="34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Así mismo, es importante destacar que esta Ley reconoce nuevos delitos como el tráfico de órganos, turismo sexual y explotación laboral, todos vinculados con el fenómeno de la trata. Se ha insistido en diferentes foros y espacios a nivel nacional e internacional acerca de la violencia contra las mujeres como un asunto público y de seguridad ciudadana. Es, ante todo, una amenaza a la seguridad de las mujeres. Como tal debe formar parte de las políticas de seguridad ciudadana y de todo el trabajo de protección del sector seguridad.</w:t>
      </w:r>
    </w:p>
    <w:p w:rsidR="001577A4" w:rsidRPr="00E91CCE" w:rsidRDefault="001577A4" w:rsidP="001577A4">
      <w:pPr>
        <w:pStyle w:val="DefaultParagraphFont"/>
        <w:widowControl w:val="0"/>
        <w:autoSpaceDE w:val="0"/>
        <w:autoSpaceDN w:val="0"/>
        <w:adjustRightInd w:val="0"/>
        <w:spacing w:after="0" w:line="349"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Respecto a la explotación laboral, se propone poder condenar a quienes contraten personal para obligarles a trabajar en situaciones que lesionen sus derechos humanos fundamentales; lo anterior ya que solo se contemplaba una sanción administrativa para este tipo de actividad y se adicionó al Código Penal una sanción para la proyección del país como un destino turístico de explotación sexual con la finalidad de eliminar este tipo de actividad en Costa Rica. Por otra parte, en materia de atención el Equipo de Respuesta Inmediata acreditó a 29 víctimas durante el 2013 para un total de 119 víctimas acreditadas desde su creación en el 2010. A todas las víctimas se les brindó la atención requerida según su caso particular.</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En el ámbito preventivo, se han realizado diversas campañas de información sobre el delito de la Trata de Personas y sobre la Explotación Sexual contra niñas, niños y adolescentes, en diferentes medios de comunicación y además se ha capacitado a personas funcionarias de </w:t>
      </w:r>
      <w:r w:rsidRPr="00E91CCE">
        <w:rPr>
          <w:rFonts w:ascii="Times New Roman" w:hAnsi="Times New Roman" w:cs="Times New Roman"/>
          <w:sz w:val="24"/>
          <w:szCs w:val="24"/>
          <w:lang w:val="es-ES"/>
        </w:rPr>
        <w:lastRenderedPageBreak/>
        <w:t>instituciones públicas, a sociedad civil y estudiantes de todo el país, es decir un poco más de veinte mil personas capacitadas en la temática. Se trabaja en la creación de un mapeo geográfico, social y operativo en materia de Trata de Personas desde la Comisión de Información, Análisis e Investigación con la finalidad de hacer una radiografía del país para apoyar los lugares que más lo requieren.</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Sobre la Hoja de Ruta para erradicar las peores formas de trabajo infantil, cabe destacar que las Secretarías Técnicas de la CONATT y de la Comisión Nacional contra la Explotación Sexual Comercial (CONACOES) forman parte del Comité de Seguimiento con la finalidad de dar cumplimiento a las metas mediante acciones concretas estipuladas en el documento para la erradicación del fenómeno en nuestro país.</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6" w:name="page16"/>
      <w:bookmarkEnd w:id="16"/>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Se ha dado el fortalecimiento a la Red Institucional contra la Explotación Sexual de niños, niñas y adolescentes de Santa Cruz de Guanacaste, con la formación de una hoja de ruta para que se establezcan las acciones a seguir en procesos de denuncia, desde el nivel comunal hasta el institucional.</w:t>
      </w:r>
    </w:p>
    <w:p w:rsidR="001577A4" w:rsidRPr="00E91CCE" w:rsidRDefault="001577A4" w:rsidP="001577A4">
      <w:pPr>
        <w:pStyle w:val="DefaultParagraphFont"/>
        <w:widowControl w:val="0"/>
        <w:autoSpaceDE w:val="0"/>
        <w:autoSpaceDN w:val="0"/>
        <w:adjustRightInd w:val="0"/>
        <w:spacing w:after="0" w:line="35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Se han reforzado los operativos policiales, donde se han rescatado personas menores de edad involucradas en los fenómenos mencionados. En varios de estos operativos han participado diferentes instituciones con la finalidad de brindar un abordaje integral del caso y en especial a las víctimas rescatadas. Además de la coordinación interinstitucional, la internacional es también de suma importancia para poder luchar contra estos delitos. Por esta razón se realizan reuniones bilaterales, por ejemplo con la participación del Organismo de Investigación Judicial y la Policía de Canadá, con el fin de establecer mecanismos de coordinación para la denuncia entre ambos países.</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No obstante lo anterior, se estima como un desafío la necesidad de que el Estado costarricense emita una legislación especializada en materia de tráfico ilícito de migrantes, con el fin de que las autoridades correspondientes brinden atención a este otro delito de manera integral, más allá de un enfoque meramente represivo y de control, con miras a garantizar los derechos fundamentales de las personas que han visto lesionados o violentados esos derechos, por haber utilizado las vías del tráfico ilícito.</w:t>
      </w:r>
    </w:p>
    <w:p w:rsidR="001577A4" w:rsidRPr="00E91CCE" w:rsidRDefault="001577A4" w:rsidP="001577A4">
      <w:pPr>
        <w:pStyle w:val="DefaultParagraphFont"/>
        <w:widowControl w:val="0"/>
        <w:autoSpaceDE w:val="0"/>
        <w:autoSpaceDN w:val="0"/>
        <w:adjustRightInd w:val="0"/>
        <w:spacing w:after="0" w:line="343"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Las leyes y las reformas a las leyes enunciadas anteriormente han tenido un impacto significativo en distintos ámbitos y, en particular, en la institucionalidad pública. Han fortalecido el rol rector del INAMU en materia de coordinación del Sistema Nacional, la vigilancia del cumplimiento de la política pública y los compromisos nacionales e internacionales en materia de violencia contra las mujeres y violencia intrafamiliar.</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También han posibilitado el acompañamiento técnico a distintas instancias del Sistema </w:t>
      </w:r>
      <w:r w:rsidRPr="00E91CCE">
        <w:rPr>
          <w:rFonts w:ascii="Times New Roman" w:hAnsi="Times New Roman" w:cs="Times New Roman"/>
          <w:sz w:val="24"/>
          <w:szCs w:val="24"/>
          <w:lang w:val="es-ES"/>
        </w:rPr>
        <w:lastRenderedPageBreak/>
        <w:t>Nacional en la confección de protocolos de atención, en la calidad de la atención en servicios, tales como el Protocolo del Centro Operativo de Atención de llamadas sobre Violencia Intrafamiliar (COAVIF) en coordinación con el 9-1-1; Protocolo Específico para la Protección Integral de Niñas, Niños y Adolescentes en situaciones de Explotación Sexual Comercial; Protocolo para la Atención Integral de Situaciones Violatorias a la Integridad Física y Emocional de las Personas Menores de Edad; Protocolo Interinstitucional para la Atención de Mujeres en Situaciones de Alto Riesgo de Muerte por Violencia.</w:t>
      </w:r>
    </w:p>
    <w:p w:rsidR="001577A4" w:rsidRPr="00E91CCE" w:rsidRDefault="001577A4" w:rsidP="001577A4">
      <w:pPr>
        <w:pStyle w:val="DefaultParagraphFont"/>
        <w:widowControl w:val="0"/>
        <w:autoSpaceDE w:val="0"/>
        <w:autoSpaceDN w:val="0"/>
        <w:adjustRightInd w:val="0"/>
        <w:spacing w:after="0" w:line="342"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el marco de la prevención y promoción del Derecho a Vivir una vida libre de Violencia, el Instituto Nacional de las Mujeres desarrolla una estrategia permanente de comunicación para informar, educar y sensibilizar a la población con la VcM. Ha realizado una serie de campañas educativas con el fin de fortalecer la información acerca de los derechos humanos a favor de la igualdad, la equidad y en contra de toda forma de discriminación y violencia contras las mujeres. El INAMU considera estratégico desarrollar campañas que permitan la transformación cultural que erradique estereotipos y conductas discriminatorias.</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239" w:lineRule="auto"/>
        <w:rPr>
          <w:rFonts w:ascii="Times New Roman" w:hAnsi="Times New Roman" w:cs="Times New Roman"/>
          <w:sz w:val="24"/>
          <w:szCs w:val="24"/>
          <w:lang w:val="es-ES"/>
        </w:rPr>
      </w:pPr>
      <w:bookmarkStart w:id="17" w:name="page17"/>
      <w:bookmarkEnd w:id="17"/>
      <w:r w:rsidRPr="00E91CCE">
        <w:rPr>
          <w:rFonts w:ascii="Times New Roman" w:hAnsi="Times New Roman" w:cs="Times New Roman"/>
          <w:b/>
          <w:bCs/>
          <w:sz w:val="24"/>
          <w:szCs w:val="24"/>
          <w:lang w:val="es-ES"/>
        </w:rPr>
        <w:lastRenderedPageBreak/>
        <w:t>DATOS Y ESTADÍSTICAS</w:t>
      </w:r>
    </w:p>
    <w:p w:rsidR="001577A4" w:rsidRPr="00E91CCE" w:rsidRDefault="001577A4" w:rsidP="001577A4">
      <w:pPr>
        <w:pStyle w:val="DefaultParagraphFont"/>
        <w:widowControl w:val="0"/>
        <w:autoSpaceDE w:val="0"/>
        <w:autoSpaceDN w:val="0"/>
        <w:adjustRightInd w:val="0"/>
        <w:spacing w:after="0" w:line="37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Costa Rica cuenta con el Sistema de Indicadores Estadísticos de Género (SIEG) diseñado para dar cuenta de los avances en la igualdad de género, fruto del esfuerzo conjunto del Instituto Nacional de las Mujeres (INAMU) y el Instituto Nacional de Estadística y Censos (INEC). La configuración actual del sistema proviene de una revisión y evaluación del sistema realizada en el 2008, fecha desde la que se publican sus resultados en la página web del INEC, institución encargada de la actualización y mantenimiento del sistema.</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8"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SIEG se fundamenta en la propuesta de indicadores de la Comisión Económica para América Latina y el Caribe (CEPAL) y contempla 101 indicadores contenidos en nueve categorías. Adicionalmente, existen cuatro sistemas que abordan en mayor profundidad temas específicos sobre la igualdad de las mujeres: los Indicadores de Género y Salud, el Sistema Unificado de Medición Estadística de la Violencia de Género (SUMEVIG), el Sistema de Indicadores de la Política Nacional para la Igualdad y Equidad de Género (SIPIEG) y los indicadores del Informe del Estado de los Derechos de las Mujeres.</w:t>
      </w:r>
    </w:p>
    <w:p w:rsidR="001577A4" w:rsidRPr="00E91CCE" w:rsidRDefault="001577A4" w:rsidP="001577A4">
      <w:pPr>
        <w:pStyle w:val="DefaultParagraphFont"/>
        <w:widowControl w:val="0"/>
        <w:autoSpaceDE w:val="0"/>
        <w:autoSpaceDN w:val="0"/>
        <w:adjustRightInd w:val="0"/>
        <w:spacing w:after="0" w:line="348"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Desde el año 2008 existe el SUMEVIG (Sistema Unificado de Medición de la Violencia de Género), instancia coordinada por el Instituto Nacional de las Mujeres y el Instituto Nacional de Estadística y Censos. Es un espacio creado de manera específica para producir y analizar información relativa a indicadores sobre violencia contra las mujeres, donde también concurre el Poder Judicial, el Ministerio de Salud, el Patronato Nacional de la Infancia, el Ministerio de Seguridad Pública, el Ministerio de Justicia y Paz, la Universidad de Costa Rica a través del Centro Centroamericano de Población, la Defensoría de los Habitantes de la </w:t>
      </w:r>
      <w:r w:rsidRPr="00E91CCE">
        <w:rPr>
          <w:rFonts w:ascii="Times New Roman" w:hAnsi="Times New Roman" w:cs="Times New Roman"/>
          <w:sz w:val="24"/>
          <w:szCs w:val="24"/>
          <w:lang w:val="es-ES"/>
        </w:rPr>
        <w:lastRenderedPageBreak/>
        <w:t>República. De tal manera que este sistema se basa fundamentalmente en registros administrativos y estadísticas vitales provenientes de diversas instituciones y es manejado y actualizado desde el INAMU.</w:t>
      </w:r>
    </w:p>
    <w:p w:rsidR="001577A4" w:rsidRPr="00E91CCE" w:rsidRDefault="001577A4" w:rsidP="001577A4">
      <w:pPr>
        <w:pStyle w:val="DefaultParagraphFont"/>
        <w:widowControl w:val="0"/>
        <w:autoSpaceDE w:val="0"/>
        <w:autoSpaceDN w:val="0"/>
        <w:adjustRightInd w:val="0"/>
        <w:spacing w:after="0" w:line="34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SUMEVIG constituye una herramienta fundamental que posibilita la definición, construcción y mantenimiento de un sistema de información a partir de la homologación de registros y la construcción de indicadores claves y consensuados con el fin de mostrar las dimensiones de la violencia de género en el país. Contempla 15 indicadores: la capacitación en género de personas funcionarias del Poder Judicial; denuncias; incidentes, actuaciones y consultas; protección ante el riesgo; femicidio; casos de violencia; procesos judiciales y sentencias; y datos sobre tiempo de estancia y sentenciados por violencia.</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5"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cuanto a la fase en que se encuentran los procesos de recogida y compilación de los indicadores, se tiene que desde el año 2012 se ha incorporado a los diferentes registros de las instituciones, las variables de sexo, edad, vínculo con el agresor y el sexo del agresor. La meta para el año 2014, es poder contar con un informe que dé cuenta de estos indicadores con datos a partir del año 2012.</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8" w:name="page18"/>
      <w:bookmarkEnd w:id="18"/>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Por su parte, el SIPIEG (Sistema de Indicadores de la Política Nacional para la Igualdad y Equidad de Género), también manejado y actualizado desde el INAMU, se compone de un conjunto de 65 indicadores de resultado relacionados con las líneas estratégicas que contempla la Política Nacional para la Igualdad de Género, las cuales son: trabajo remunerado de calidad y generación de ingresos; cuido como responsabilidad social; educación y salud de calidad a favor de la igualdad; protección efectiva de los derechos de las mujeres y frente a las distintas formas de violencia; participación política de las mujeres y el logro de una democracia paritaria; y el fortalecimiento de la institucionalidad a favor de la igualdad y equidad de género.</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El sistema de Indicadores de Género y Salud incluye 111 indicadores que se estiman cada dos años y sus resultados se publican desde al año 2004. Éstos versan sobre siete temas: demografía; datos socioeconómicos; morbilidad; mortalidad; salud sexual y reproductiva; y violencia intrafamiliar.</w:t>
      </w:r>
    </w:p>
    <w:p w:rsidR="001577A4" w:rsidRPr="00E91CCE" w:rsidRDefault="001577A4" w:rsidP="001577A4">
      <w:pPr>
        <w:pStyle w:val="DefaultParagraphFont"/>
        <w:widowControl w:val="0"/>
        <w:autoSpaceDE w:val="0"/>
        <w:autoSpaceDN w:val="0"/>
        <w:adjustRightInd w:val="0"/>
        <w:spacing w:after="0" w:line="35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El avance a nivel nacional sobre la base de estos indicadores, se enmarca en dos procesos. El SUMEVIG, el cual se encuentra en una etapa de revisión, actualización y construcción de nuevos indicadores, y de un análisis general de las actuaciones de cada institución que lo integra, con el objetivo de mejorar los registros administrativos y definir cuáles son los datos que cada institución puede aportar al sistema. Así también, el Sistema de Indicadores de Género (SIEG), que está en un proceso de evaluación y replanteamiento para incorporar los indicadores que respondan a los compromisos internacionales. Por lo que se considera, que </w:t>
      </w:r>
      <w:r w:rsidRPr="00E91CCE">
        <w:rPr>
          <w:rFonts w:ascii="Times New Roman" w:hAnsi="Times New Roman" w:cs="Times New Roman"/>
          <w:sz w:val="24"/>
          <w:szCs w:val="24"/>
          <w:lang w:val="es-ES"/>
        </w:rPr>
        <w:lastRenderedPageBreak/>
        <w:t>en el marco de estos dos procesos, se está en un momento oportuno para incorporar los indicadores que respondan a los señalados por la Comisión de Estadística de las Naciones Unidas.</w:t>
      </w:r>
    </w:p>
    <w:p w:rsidR="001577A4" w:rsidRPr="00E91CCE" w:rsidRDefault="001577A4" w:rsidP="001577A4">
      <w:pPr>
        <w:pStyle w:val="DefaultParagraphFont"/>
        <w:widowControl w:val="0"/>
        <w:autoSpaceDE w:val="0"/>
        <w:autoSpaceDN w:val="0"/>
        <w:adjustRightInd w:val="0"/>
        <w:spacing w:after="0" w:line="343"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Finalmente, el INAMU también produce un informe cada cuatro años sobre el Estado de los Derechos de las Mujeres. En dicho documento se contempla la estimación y actualización de 80 indicadores sobre: pobreza y desigualdades de género; derechos económicos, derecho a una vida sin violencia, derechos sexuales y reproductivos así como los civiles y políticos. El segundo informe se encuentra en preparación en este momento y se espera sea publicado en el año 2015.</w:t>
      </w:r>
    </w:p>
    <w:p w:rsidR="001577A4" w:rsidRPr="00E91CCE" w:rsidRDefault="001577A4" w:rsidP="001577A4">
      <w:pPr>
        <w:pStyle w:val="DefaultParagraphFont"/>
        <w:widowControl w:val="0"/>
        <w:autoSpaceDE w:val="0"/>
        <w:autoSpaceDN w:val="0"/>
        <w:adjustRightInd w:val="0"/>
        <w:spacing w:after="0" w:line="350"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reproducción de estos sistemas muestra no sólo el compromiso del Estado con la visibilidad de los avances y retrocesos en la igualdad de género sino el propio monitoreo de los efectos de mecanismos como la Política Nacional de Atención y Prevención de la Violencia contra las Mujeres. El trabajo de colaboración interinstitucional potencia la permeabilidad de sistemas de registros hacia la consideración de variables que permitan estimar distintos indicadores de género.</w:t>
      </w:r>
    </w:p>
    <w:p w:rsidR="001577A4" w:rsidRPr="00E91CCE" w:rsidRDefault="001577A4" w:rsidP="001577A4">
      <w:pPr>
        <w:pStyle w:val="DefaultParagraphFont"/>
        <w:widowControl w:val="0"/>
        <w:autoSpaceDE w:val="0"/>
        <w:autoSpaceDN w:val="0"/>
        <w:adjustRightInd w:val="0"/>
        <w:spacing w:after="0" w:line="347"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2"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No obstante, se ha detectado también que los sistemas utilizan fuentes de información similares así como algunos indicadores compartidos. Por esta razón, en el marco de un convenio de cooperación entre el INAMU y el INEC se está haciendo una evaluación del conjunto de estos sistemas para determinar la viabilidad de construir un Sistema</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19" w:name="page19"/>
      <w:bookmarkEnd w:id="19"/>
    </w:p>
    <w:p w:rsidR="001577A4" w:rsidRPr="00E91CCE" w:rsidRDefault="001577A4" w:rsidP="001577A4">
      <w:pPr>
        <w:pStyle w:val="DefaultParagraphFont"/>
        <w:widowControl w:val="0"/>
        <w:overflowPunct w:val="0"/>
        <w:autoSpaceDE w:val="0"/>
        <w:autoSpaceDN w:val="0"/>
        <w:adjustRightInd w:val="0"/>
        <w:spacing w:after="0" w:line="23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Integrado de Estadísticas de Género (SIIEG), que haga más eficiente los procesos involucrados en estos trabajos.</w:t>
      </w:r>
    </w:p>
    <w:p w:rsidR="001577A4" w:rsidRPr="00E91CCE" w:rsidRDefault="001577A4" w:rsidP="001577A4">
      <w:pPr>
        <w:pStyle w:val="DefaultParagraphFont"/>
        <w:widowControl w:val="0"/>
        <w:autoSpaceDE w:val="0"/>
        <w:autoSpaceDN w:val="0"/>
        <w:adjustRightInd w:val="0"/>
        <w:spacing w:after="0" w:line="374"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71"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Al comparar la propuesta de la CENU (Comisión Estadística de las Naciones Unidas) con los sistemas que existen en el país se encuentra que todos los temas generales que contempla son abordados con diferentes indicadores en al menos uno de los sistemas de indicadores existentes en el país. Vale la pena mencionar subtemas que sí se contemplan en los sistemas y que no están implicados en la propuesta de la CENU, como por ejemplo: la pobreza, el seguimiento a los presupuestos, inversión y gasto público, el seguimiento a planes y políticas del Estado, mujeres embarazadas en relación con el trabajo o educación o bien mecanismos de protección a las mujeres víctimas de violencia. De manera inversa, es notorio que en ninguno de los sistemas del país se contempla el acceso a recursos como la tierra, el crédito, medios de comunicación así como el uso de tecnología de la información, lo que sí se contempla en los indicadores de la CENU.</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303"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r w:rsidRPr="00E91CCE">
        <w:rPr>
          <w:rFonts w:ascii="Times New Roman" w:hAnsi="Times New Roman" w:cs="Times New Roman"/>
          <w:b/>
          <w:bCs/>
          <w:sz w:val="24"/>
          <w:szCs w:val="24"/>
          <w:lang w:val="es-ES"/>
        </w:rPr>
        <w:t>Producción de información</w:t>
      </w:r>
    </w:p>
    <w:p w:rsidR="001577A4" w:rsidRPr="00E91CCE" w:rsidRDefault="001577A4" w:rsidP="001577A4">
      <w:pPr>
        <w:pStyle w:val="DefaultParagraphFont"/>
        <w:widowControl w:val="0"/>
        <w:autoSpaceDE w:val="0"/>
        <w:autoSpaceDN w:val="0"/>
        <w:adjustRightInd w:val="0"/>
        <w:spacing w:after="0" w:line="28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lastRenderedPageBreak/>
        <w:t>En la producción e integración de información estadística, actualmente se está desarrollando una labor tendiente a integrar los conjuntos de indicadores que se han venido conformando en los últimos años (asociados con estadísticas de violencia de género, indicadores de género y salud, CEDAW, Objetivos del Milenio, PIEG, MESECVI, entre otros) y cuyo cálculo requiere de una labor adicional para las instituciones productoras de estadísticas y registros administrativos.</w:t>
      </w:r>
    </w:p>
    <w:p w:rsidR="001577A4" w:rsidRPr="00E91CCE" w:rsidRDefault="001577A4" w:rsidP="001577A4">
      <w:pPr>
        <w:pStyle w:val="DefaultParagraphFont"/>
        <w:widowControl w:val="0"/>
        <w:autoSpaceDE w:val="0"/>
        <w:autoSpaceDN w:val="0"/>
        <w:adjustRightInd w:val="0"/>
        <w:spacing w:after="0" w:line="256"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7"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inclusión de estos conjuntos de indicadores en un sistema unificado permitirá a estas instancias planificar y organizar su trabajo de manera que puedan dar respuesta a las solicitudes de información de diversos instrumentos nacionales e internacionales a través de una única plataforma estadística. Esto constituye un logro importante en la vía de contar con información oportuna para la toma de decisiones y la formulación-ejecución de políticas públicas que garanticen el avance de los derechos de las mujeres.</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302"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pPr>
      <w:r w:rsidRPr="00E91CCE">
        <w:rPr>
          <w:rFonts w:ascii="Times New Roman" w:hAnsi="Times New Roman" w:cs="Times New Roman"/>
          <w:b/>
          <w:bCs/>
          <w:sz w:val="24"/>
          <w:szCs w:val="24"/>
          <w:lang w:val="es-ES"/>
        </w:rPr>
        <w:t>ESFERAS DE PREOCUPACIÓN</w:t>
      </w:r>
    </w:p>
    <w:p w:rsidR="001577A4" w:rsidRPr="00E91CCE" w:rsidRDefault="001577A4" w:rsidP="001577A4">
      <w:pPr>
        <w:pStyle w:val="DefaultParagraphFont"/>
        <w:widowControl w:val="0"/>
        <w:autoSpaceDE w:val="0"/>
        <w:autoSpaceDN w:val="0"/>
        <w:adjustRightInd w:val="0"/>
        <w:spacing w:after="0" w:line="377"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69"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prevención de la violencia contra las mujeres es un ámbito que demanda de nuevos enfoques y estrategias. Es necesario reconocer que la atención de las mujeres víctimas de violencia, dada su complejidad y dimensiones, ha consumido buena parte de los recursos y esfuerzos de las instituciones y de las políticas. Las actividades de prevención (programas de sensibilización, educación y campañas), deben reforzarse mutuamente bajo un enfoque y estrategia común, que involucre a diferentes sectores e instituciones y en particular a los sistemas de salud y seguridad social, seguridad pública y policía y sistema educativo.</w:t>
      </w:r>
    </w:p>
    <w:p w:rsidR="001577A4" w:rsidRPr="00E91CCE" w:rsidRDefault="001577A4" w:rsidP="001577A4">
      <w:pPr>
        <w:pStyle w:val="DefaultParagraphFont"/>
        <w:widowControl w:val="0"/>
        <w:autoSpaceDE w:val="0"/>
        <w:autoSpaceDN w:val="0"/>
        <w:adjustRightInd w:val="0"/>
        <w:spacing w:after="0" w:line="351" w:lineRule="exact"/>
        <w:rPr>
          <w:rFonts w:ascii="Times New Roman" w:hAnsi="Times New Roman" w:cs="Times New Roman"/>
          <w:sz w:val="24"/>
          <w:szCs w:val="24"/>
          <w:lang w:val="es-ES"/>
        </w:rPr>
      </w:pPr>
    </w:p>
    <w:p w:rsidR="001577A4" w:rsidRPr="00E91CCE" w:rsidRDefault="001577A4" w:rsidP="001577A4">
      <w:pPr>
        <w:pStyle w:val="DefaultParagraphFont"/>
        <w:widowControl w:val="0"/>
        <w:overflowPunct w:val="0"/>
        <w:autoSpaceDE w:val="0"/>
        <w:autoSpaceDN w:val="0"/>
        <w:adjustRightInd w:val="0"/>
        <w:spacing w:after="0" w:line="236"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La protección adecuada de la integridad física y de la seguridad de las mujeres requiere de ingentes esfuerzos. La violencia contra las mujeres, en sus diferentes manifestaciones,</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20" w:name="page20"/>
      <w:bookmarkEnd w:id="20"/>
    </w:p>
    <w:p w:rsidR="001577A4" w:rsidRPr="00E91CCE" w:rsidRDefault="001577A4" w:rsidP="001577A4">
      <w:pPr>
        <w:pStyle w:val="DefaultParagraphFont"/>
        <w:widowControl w:val="0"/>
        <w:overflowPunct w:val="0"/>
        <w:autoSpaceDE w:val="0"/>
        <w:autoSpaceDN w:val="0"/>
        <w:adjustRightInd w:val="0"/>
        <w:spacing w:after="0" w:line="270" w:lineRule="auto"/>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sigue siendo un asunto de particular preocupación. Las renovadas formas de violencia que se manifiestan en acoso sexual, laboral y político, trata, explotación sexual comercial y discriminación por razones étnicas y de nacionalidad, entre otras, reclaman de una acción decidida de parte del Estado y sus instituciones. Para Costa Rica en particular, un desafío de los próximos años consiste en consolidar el fortalecimiento del Sistema Nacional de Atención y Prevención de la Violencia contra las Mujeres y la Violencia Intrafamiliar, en sus instancias políticas y técnicas, así como anclar sus mecanismos en el engranaje de la institucionalidad en su conjunto.</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56"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39" w:lineRule="auto"/>
        <w:rPr>
          <w:rFonts w:ascii="Times New Roman" w:hAnsi="Times New Roman" w:cs="Times New Roman"/>
          <w:sz w:val="24"/>
          <w:szCs w:val="24"/>
          <w:lang w:val="es-ES"/>
        </w:rPr>
      </w:pPr>
      <w:r w:rsidRPr="00E91CCE">
        <w:rPr>
          <w:rFonts w:ascii="Times New Roman" w:hAnsi="Times New Roman" w:cs="Times New Roman"/>
          <w:sz w:val="24"/>
          <w:szCs w:val="24"/>
          <w:lang w:val="es-ES"/>
        </w:rPr>
        <w:t>Nuevas prioridades que demandan mejores respuestas, se puntualizan a continuación.</w:t>
      </w:r>
    </w:p>
    <w:p w:rsidR="001577A4" w:rsidRPr="00E91CCE" w:rsidRDefault="001577A4" w:rsidP="001577A4">
      <w:pPr>
        <w:pStyle w:val="DefaultParagraphFont"/>
        <w:widowControl w:val="0"/>
        <w:autoSpaceDE w:val="0"/>
        <w:autoSpaceDN w:val="0"/>
        <w:adjustRightInd w:val="0"/>
        <w:spacing w:after="0" w:line="261" w:lineRule="exact"/>
        <w:rPr>
          <w:rFonts w:ascii="Times New Roman" w:hAnsi="Times New Roman" w:cs="Times New Roman"/>
          <w:sz w:val="24"/>
          <w:szCs w:val="24"/>
          <w:lang w:val="es-ES"/>
        </w:rPr>
      </w:pPr>
    </w:p>
    <w:p w:rsidR="001577A4" w:rsidRPr="00E91CCE" w:rsidRDefault="001577A4" w:rsidP="001577A4">
      <w:pPr>
        <w:pStyle w:val="DefaultParagraphFont"/>
        <w:widowControl w:val="0"/>
        <w:numPr>
          <w:ilvl w:val="0"/>
          <w:numId w:val="14"/>
        </w:numPr>
        <w:overflowPunct w:val="0"/>
        <w:autoSpaceDE w:val="0"/>
        <w:autoSpaceDN w:val="0"/>
        <w:adjustRightInd w:val="0"/>
        <w:spacing w:after="0" w:line="256" w:lineRule="auto"/>
        <w:ind w:hanging="358"/>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La sostenibilidad y continuidad de la Política Nacional para la Igualdad y Equidad de Género (PIEG) y el Plan Nacional para la Atención y la Prevención de la Violencia </w:t>
      </w:r>
      <w:r w:rsidRPr="00E91CCE">
        <w:rPr>
          <w:rFonts w:ascii="Times New Roman" w:hAnsi="Times New Roman" w:cs="Times New Roman"/>
          <w:sz w:val="24"/>
          <w:szCs w:val="24"/>
          <w:lang w:val="es-ES"/>
        </w:rPr>
        <w:lastRenderedPageBreak/>
        <w:t xml:space="preserve">contra las Mujeres y la Violencia Intrafamiliar (PLANOVI) y su incorporación en el Plan Nacional de Desarrollo (2015-2018). </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17" w:lineRule="exact"/>
        <w:rPr>
          <w:rFonts w:ascii="Times New Roman" w:hAnsi="Times New Roman" w:cs="Times New Roman"/>
          <w:sz w:val="24"/>
          <w:szCs w:val="24"/>
          <w:lang w:val="es-ES"/>
        </w:rPr>
      </w:pPr>
    </w:p>
    <w:p w:rsidR="001577A4" w:rsidRPr="00E91CCE" w:rsidRDefault="001577A4" w:rsidP="001577A4">
      <w:pPr>
        <w:pStyle w:val="DefaultParagraphFont"/>
        <w:widowControl w:val="0"/>
        <w:numPr>
          <w:ilvl w:val="0"/>
          <w:numId w:val="14"/>
        </w:numPr>
        <w:overflowPunct w:val="0"/>
        <w:autoSpaceDE w:val="0"/>
        <w:autoSpaceDN w:val="0"/>
        <w:adjustRightInd w:val="0"/>
        <w:spacing w:after="0" w:line="269" w:lineRule="auto"/>
        <w:ind w:hanging="358"/>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El mejoramiento de la calidad de la participación de las mujeres, en lugar de centrar los esfuerzos únicamente en su presencia en la política o en el mercado laboral. La violencia y el acoso político limitan la participación de las mujeres en la política, asuntos que demandan de estrategias urgentes. Es importante valorar la calidad del empleo y la calidad de los liderazgos de las mujeres que se han generado en los últimos años. Se requiere seguir promoviendo acciones y establecer normativa que prohíba el acoso y la violencia política contra las mujeres. Estas manifestaciones de discriminación constituyen una violación a los derechos humanos y políticos de las mujeres y desalientan el ejercicio y continuación de las carreras políticas de muchas mujeres. </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3" w:lineRule="exact"/>
        <w:rPr>
          <w:rFonts w:ascii="Times New Roman" w:hAnsi="Times New Roman" w:cs="Times New Roman"/>
          <w:sz w:val="24"/>
          <w:szCs w:val="24"/>
          <w:lang w:val="es-ES"/>
        </w:rPr>
      </w:pPr>
    </w:p>
    <w:p w:rsidR="001577A4" w:rsidRPr="00E91CCE" w:rsidRDefault="001577A4" w:rsidP="001577A4">
      <w:pPr>
        <w:pStyle w:val="DefaultParagraphFont"/>
        <w:widowControl w:val="0"/>
        <w:numPr>
          <w:ilvl w:val="0"/>
          <w:numId w:val="14"/>
        </w:numPr>
        <w:overflowPunct w:val="0"/>
        <w:autoSpaceDE w:val="0"/>
        <w:autoSpaceDN w:val="0"/>
        <w:adjustRightInd w:val="0"/>
        <w:spacing w:after="0" w:line="272" w:lineRule="auto"/>
        <w:ind w:hanging="358"/>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Algunos organismos internacionales, incluyendo al Comité CEDAW, formulan también recomendaciones al país, en particular: a. El posicionamiento de la Igualdad Sustantiva en el desarrollo de la normativa, las políticas económicas y acciones públicas. b. El fortalecimiento de las medidas legislativas, de procedimiento, mecanismos eficaces y de acción pública para asegurar el cumplimiento de la paridad entre mujeres y hombres en la participación-representación política y social. c. La aplicación de medidas orientadas al cambio de estereotipos que propician y/o mantienen prácticas discriminatorias y obstaculizan el desarrollo de la igualdad sustantiva en la sociedad. d. El fortalecimiento de las acciones públicas para la superación de las brechas de desigualdad y discriminación que aún prevalecen como las brechas en el acceso al empleo y la igualdad salarial, así como el mejoramiento de las condiciones de trabajo y de vida de las mujeres como las indígenas, afrodescendientes, trabajadoras domésticas, mujeres en la ruralidad, mujeres con discapacidad. e. El desarrollo de campañas permanentes contra todas las formas de violencia y discriminación a las mujeres. f. El desarrollo de capacidades de las personas operadoras de la justicia y el fortalecimiento de servicios jurídicos especializados </w:t>
      </w:r>
    </w:p>
    <w:p w:rsidR="001577A4" w:rsidRPr="00E91CCE" w:rsidRDefault="001577A4" w:rsidP="001577A4">
      <w:pPr>
        <w:pStyle w:val="DefaultParagraphFont"/>
        <w:widowControl w:val="0"/>
        <w:autoSpaceDE w:val="0"/>
        <w:autoSpaceDN w:val="0"/>
        <w:adjustRightInd w:val="0"/>
        <w:spacing w:after="0" w:line="240" w:lineRule="auto"/>
        <w:rPr>
          <w:rFonts w:ascii="Times New Roman" w:hAnsi="Times New Roman" w:cs="Times New Roman"/>
          <w:sz w:val="24"/>
          <w:szCs w:val="24"/>
          <w:lang w:val="es-ES"/>
        </w:rPr>
        <w:sectPr w:rsidR="001577A4" w:rsidRPr="00E91CCE" w:rsidSect="00E91CCE">
          <w:type w:val="continuous"/>
          <w:pgSz w:w="12240" w:h="15840"/>
          <w:pgMar w:top="2160" w:right="1570" w:bottom="1296" w:left="1670" w:header="1080" w:footer="648" w:gutter="0"/>
          <w:cols w:space="720" w:equalWidth="0">
            <w:col w:w="9000"/>
          </w:cols>
          <w:docGrid w:linePitch="299"/>
        </w:sectPr>
      </w:pPr>
    </w:p>
    <w:p w:rsidR="001577A4" w:rsidRPr="00E91CCE" w:rsidRDefault="001577A4" w:rsidP="001577A4">
      <w:pPr>
        <w:pStyle w:val="DefaultParagraphFont"/>
        <w:widowControl w:val="0"/>
        <w:autoSpaceDE w:val="0"/>
        <w:autoSpaceDN w:val="0"/>
        <w:adjustRightInd w:val="0"/>
        <w:spacing w:after="0" w:line="18" w:lineRule="exact"/>
        <w:rPr>
          <w:rFonts w:ascii="Times New Roman" w:hAnsi="Times New Roman" w:cs="Times New Roman"/>
          <w:sz w:val="24"/>
          <w:szCs w:val="24"/>
          <w:lang w:val="es-ES"/>
        </w:rPr>
      </w:pPr>
      <w:bookmarkStart w:id="21" w:name="page21"/>
      <w:bookmarkEnd w:id="21"/>
    </w:p>
    <w:p w:rsidR="001577A4" w:rsidRPr="00E91CCE" w:rsidRDefault="001577A4" w:rsidP="001577A4">
      <w:pPr>
        <w:pStyle w:val="DefaultParagraphFont"/>
        <w:widowControl w:val="0"/>
        <w:overflowPunct w:val="0"/>
        <w:autoSpaceDE w:val="0"/>
        <w:autoSpaceDN w:val="0"/>
        <w:adjustRightInd w:val="0"/>
        <w:spacing w:after="0" w:line="265" w:lineRule="auto"/>
        <w:ind w:left="358"/>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en género y derechos humanos para la defensa, representación protección y agilización en los procesos judiciales y/o administrativos como garantía para el pleno acceso a la justicia en situaciones de violencia, discriminación y restitución de derechos de las mujeres. g. El mejoramiento de la producción de indicadores en materia de igualdad y no discriminación contra las mujeres.</w:t>
      </w:r>
    </w:p>
    <w:p w:rsidR="001577A4" w:rsidRPr="00E91CCE" w:rsidRDefault="001577A4" w:rsidP="001577A4">
      <w:pPr>
        <w:pStyle w:val="DefaultParagraphFont"/>
        <w:widowControl w:val="0"/>
        <w:autoSpaceDE w:val="0"/>
        <w:autoSpaceDN w:val="0"/>
        <w:adjustRightInd w:val="0"/>
        <w:spacing w:after="0" w:line="200" w:lineRule="exact"/>
        <w:rPr>
          <w:rFonts w:ascii="Times New Roman" w:hAnsi="Times New Roman" w:cs="Times New Roman"/>
          <w:sz w:val="24"/>
          <w:szCs w:val="24"/>
          <w:lang w:val="es-ES"/>
        </w:rPr>
      </w:pPr>
    </w:p>
    <w:p w:rsidR="001577A4" w:rsidRPr="00E91CCE" w:rsidRDefault="001577A4" w:rsidP="001577A4">
      <w:pPr>
        <w:pStyle w:val="DefaultParagraphFont"/>
        <w:widowControl w:val="0"/>
        <w:autoSpaceDE w:val="0"/>
        <w:autoSpaceDN w:val="0"/>
        <w:adjustRightInd w:val="0"/>
        <w:spacing w:after="0" w:line="208" w:lineRule="exact"/>
        <w:rPr>
          <w:rFonts w:ascii="Times New Roman" w:hAnsi="Times New Roman" w:cs="Times New Roman"/>
          <w:sz w:val="24"/>
          <w:szCs w:val="24"/>
          <w:lang w:val="es-ES"/>
        </w:rPr>
      </w:pPr>
    </w:p>
    <w:p w:rsidR="001577A4" w:rsidRPr="00E91CCE" w:rsidRDefault="001577A4" w:rsidP="001577A4">
      <w:pPr>
        <w:pStyle w:val="DefaultParagraphFont"/>
        <w:widowControl w:val="0"/>
        <w:numPr>
          <w:ilvl w:val="0"/>
          <w:numId w:val="15"/>
        </w:numPr>
        <w:tabs>
          <w:tab w:val="clear" w:pos="720"/>
          <w:tab w:val="num" w:pos="346"/>
        </w:tabs>
        <w:overflowPunct w:val="0"/>
        <w:autoSpaceDE w:val="0"/>
        <w:autoSpaceDN w:val="0"/>
        <w:adjustRightInd w:val="0"/>
        <w:spacing w:after="0" w:line="272" w:lineRule="auto"/>
        <w:ind w:left="358" w:hanging="358"/>
        <w:jc w:val="both"/>
        <w:rPr>
          <w:rFonts w:ascii="Times New Roman" w:hAnsi="Times New Roman" w:cs="Times New Roman"/>
          <w:sz w:val="24"/>
          <w:szCs w:val="24"/>
          <w:lang w:val="es-ES"/>
        </w:rPr>
      </w:pPr>
      <w:r w:rsidRPr="00E91CCE">
        <w:rPr>
          <w:rFonts w:ascii="Times New Roman" w:hAnsi="Times New Roman" w:cs="Times New Roman"/>
          <w:sz w:val="24"/>
          <w:szCs w:val="24"/>
          <w:lang w:val="es-ES"/>
        </w:rPr>
        <w:t xml:space="preserve">En el ámbito de la violencia contra las mujeres se plantean las siguientes nuevas prioridades y recomendaciones: a. El fortalecimiento de las acciones de prevención y </w:t>
      </w:r>
      <w:r w:rsidRPr="00E91CCE">
        <w:rPr>
          <w:rFonts w:ascii="Times New Roman" w:hAnsi="Times New Roman" w:cs="Times New Roman"/>
          <w:sz w:val="24"/>
          <w:szCs w:val="24"/>
          <w:lang w:val="es-ES"/>
        </w:rPr>
        <w:lastRenderedPageBreak/>
        <w:t xml:space="preserve">promoción del derecho a una vida libre de violencia, incluyendo mecanismos de medición de impacto de las acciones de prevención, los recursos de apoyo disponibles y los mecanismos de protección existentes. b. El fortalecimiento de la participación de las organizaciones no gubernamentales y de la sociedad civil en las redes locales de prevención y atención de la violencia intrafamiliar, mediante la auditoría ciudadana, el monitoreo y evaluación de los programas a nivel local. c. La incorporación de la prevención de la violencia en sus múltiples manifestaciones y poblaciones afectadas en la educación primaria y secundaria. d. El orientar el trabajo con ofensores a aquellas acciones y poblaciones con mayor probabilidad de éxito (prevención y atención de niñas, niños y adolescentes). e. Consolidar, ampliar, especializar y descentralizar los servicios de atención y diseñar mecanismos permanentes para evaluar su eficacia y calidad. f. La revisión de los modelos de atención de las instituciones, con el fin de garantizar la efectiva incorporación de los enfoques de derechos, género y generacional. g. El fortalecimiento de los mecanismos de coordinación interinstitucional para la atención de las personas afectadas por violencia y, en especial, de la oferta de servicios de apoyo. </w:t>
      </w:r>
    </w:p>
    <w:p w:rsidR="001577A4" w:rsidRPr="001577A4" w:rsidRDefault="001577A4" w:rsidP="001577A4">
      <w:pPr>
        <w:pStyle w:val="ListParagraph"/>
        <w:spacing w:after="0" w:line="240" w:lineRule="auto"/>
        <w:jc w:val="both"/>
        <w:rPr>
          <w:rFonts w:ascii="Times New Roman" w:hAnsi="Times New Roman" w:cs="Times New Roman"/>
          <w:sz w:val="24"/>
          <w:szCs w:val="24"/>
          <w:lang w:val="es-ES"/>
        </w:rPr>
      </w:pPr>
    </w:p>
    <w:p w:rsidR="008378AA" w:rsidRPr="005F28DB" w:rsidRDefault="00865D40" w:rsidP="008378AA">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eastAsia="en-US"/>
        </w:rPr>
        <w:pict>
          <v:shapetype id="_x0000_t202" coordsize="21600,21600" o:spt="202" path="m,l,21600r21600,l21600,xe">
            <v:stroke joinstyle="miter"/>
            <v:path gradientshapeok="t" o:connecttype="rect"/>
          </v:shapetype>
          <v:shape id="_x0000_s1028" type="#_x0000_t202" style="position:absolute;left:0;text-align:left;margin-left:-7.2pt;margin-top:10in;width:266.4pt;height:18pt;z-index:251663360;mso-wrap-style:tight;mso-position-horizontal:absolute;mso-position-vertical:absolute;mso-position-vertical-relative:page" filled="f" stroked="f">
            <v:textbox style="mso-next-textbox:#_x0000_s1028">
              <w:txbxContent>
                <w:p w:rsidR="00102196" w:rsidRPr="007B0A25" w:rsidRDefault="00865D40" w:rsidP="00102196">
                  <w:pPr>
                    <w:rPr>
                      <w:rFonts w:ascii="Times New Roman" w:hAnsi="Times New Roman" w:cs="Times New Roman"/>
                      <w:sz w:val="18"/>
                      <w:lang w:val="pt-BR"/>
                    </w:rPr>
                  </w:pPr>
                  <w:fldSimple w:instr=" FILENAME  \* MERGEFORMAT ">
                    <w:r w:rsidR="00B11050">
                      <w:rPr>
                        <w:rFonts w:ascii="Times New Roman" w:hAnsi="Times New Roman" w:cs="Times New Roman"/>
                        <w:noProof/>
                        <w:sz w:val="18"/>
                        <w:lang w:val="pt-BR"/>
                      </w:rPr>
                      <w:t>CIM03660</w:t>
                    </w:r>
                    <w:r w:rsidR="00102196">
                      <w:rPr>
                        <w:rFonts w:ascii="Times New Roman" w:hAnsi="Times New Roman" w:cs="Times New Roman"/>
                        <w:noProof/>
                        <w:sz w:val="18"/>
                        <w:lang w:val="pt-BR"/>
                      </w:rPr>
                      <w:t>S01</w:t>
                    </w:r>
                  </w:fldSimple>
                </w:p>
              </w:txbxContent>
            </v:textbox>
            <w10:wrap anchory="page"/>
            <w10:anchorlock/>
          </v:shape>
        </w:pict>
      </w:r>
    </w:p>
    <w:sectPr w:rsidR="008378AA" w:rsidRPr="005F28DB" w:rsidSect="00CD7E72">
      <w:headerReference w:type="even" r:id="rId13"/>
      <w:headerReference w:type="default" r:id="rId14"/>
      <w:footerReference w:type="even" r:id="rId15"/>
      <w:footerReference w:type="default" r:id="rId16"/>
      <w:headerReference w:type="first" r:id="rId17"/>
      <w:footerReference w:type="first" r:id="rId18"/>
      <w:type w:val="continuous"/>
      <w:pgSz w:w="12240" w:h="15840"/>
      <w:pgMar w:top="2160" w:right="1570" w:bottom="1296" w:left="1670" w:header="1080" w:footer="64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B41" w:rsidRDefault="00220B41" w:rsidP="00C267A7">
      <w:pPr>
        <w:spacing w:after="0" w:line="240" w:lineRule="auto"/>
      </w:pPr>
      <w:r>
        <w:separator/>
      </w:r>
    </w:p>
  </w:endnote>
  <w:endnote w:type="continuationSeparator" w:id="1">
    <w:p w:rsidR="00220B41" w:rsidRDefault="00220B41" w:rsidP="00C26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A5D" w:rsidRDefault="00196A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A5D" w:rsidRDefault="00196A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A5D" w:rsidRDefault="00196A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B41" w:rsidRDefault="00220B41" w:rsidP="00C267A7">
      <w:pPr>
        <w:spacing w:after="0" w:line="240" w:lineRule="auto"/>
      </w:pPr>
      <w:r>
        <w:separator/>
      </w:r>
    </w:p>
  </w:footnote>
  <w:footnote w:type="continuationSeparator" w:id="1">
    <w:p w:rsidR="00220B41" w:rsidRDefault="00220B41" w:rsidP="00C267A7">
      <w:pPr>
        <w:spacing w:after="0" w:line="240" w:lineRule="auto"/>
      </w:pPr>
      <w:r>
        <w:continuationSeparator/>
      </w:r>
    </w:p>
  </w:footnote>
  <w:footnote w:id="2">
    <w:p w:rsidR="0086786C" w:rsidRPr="00832571" w:rsidRDefault="0086786C" w:rsidP="00832571">
      <w:pPr>
        <w:widowControl w:val="0"/>
        <w:tabs>
          <w:tab w:val="left" w:pos="720"/>
          <w:tab w:val="left" w:pos="1440"/>
          <w:tab w:val="left" w:pos="6480"/>
          <w:tab w:val="left" w:pos="7920"/>
        </w:tabs>
        <w:spacing w:after="0" w:line="240" w:lineRule="auto"/>
        <w:ind w:right="-1080"/>
        <w:jc w:val="both"/>
        <w:rPr>
          <w:rFonts w:ascii="Times New Roman" w:hAnsi="Times New Roman" w:cs="Times New Roman"/>
          <w:sz w:val="20"/>
          <w:szCs w:val="20"/>
          <w:lang w:val="es-ES_tradnl"/>
        </w:rPr>
      </w:pPr>
      <w:r w:rsidRPr="00832571">
        <w:rPr>
          <w:rStyle w:val="FootnoteReference"/>
          <w:rFonts w:ascii="Times New Roman" w:hAnsi="Times New Roman" w:cs="Times New Roman"/>
          <w:sz w:val="20"/>
          <w:szCs w:val="20"/>
        </w:rPr>
        <w:footnoteRef/>
      </w:r>
      <w:r w:rsidRPr="00832571">
        <w:rPr>
          <w:rFonts w:ascii="Times New Roman" w:hAnsi="Times New Roman" w:cs="Times New Roman"/>
          <w:sz w:val="20"/>
          <w:szCs w:val="20"/>
        </w:rPr>
        <w:t xml:space="preserve"> </w:t>
      </w:r>
      <w:r w:rsidRPr="00832571">
        <w:rPr>
          <w:rFonts w:ascii="Times New Roman" w:eastAsia="Times New Roman" w:hAnsi="Times New Roman" w:cs="Times New Roman"/>
          <w:sz w:val="20"/>
          <w:szCs w:val="20"/>
          <w:lang w:val="es-ES_tradnl" w:eastAsia="en-US"/>
        </w:rPr>
        <w:t>Declaración de Pachuca “Fortalecer los esfuerzos de prevención de la violencia contra las mujeres”.</w:t>
      </w:r>
      <w:r w:rsidRPr="00832571">
        <w:rPr>
          <w:rFonts w:ascii="Times New Roman" w:eastAsia="Batang" w:hAnsi="Times New Roman" w:cs="Times New Roman"/>
          <w:snapToGrid w:val="0"/>
          <w:sz w:val="20"/>
          <w:szCs w:val="20"/>
          <w:lang w:val="es-ES_tradnl" w:eastAsia="en-US"/>
        </w:rPr>
        <w:t xml:space="preserve"> Comité Directivo 2013-2015 Tercera Sesión Ordinaria. </w:t>
      </w:r>
      <w:r w:rsidRPr="00832571">
        <w:rPr>
          <w:rFonts w:ascii="Times New Roman" w:eastAsia="Batang" w:hAnsi="Times New Roman" w:cs="Times New Roman"/>
          <w:noProof/>
          <w:snapToGrid w:val="0"/>
          <w:sz w:val="20"/>
          <w:szCs w:val="20"/>
          <w:lang w:val="es-ES_tradnl" w:eastAsia="en-US"/>
        </w:rPr>
        <w:t xml:space="preserve">CIM/CD/doc.16/14 .Pachuca, Hidalgo </w:t>
      </w:r>
      <w:r w:rsidRPr="00832571">
        <w:rPr>
          <w:rFonts w:ascii="Times New Roman" w:eastAsia="Batang" w:hAnsi="Times New Roman" w:cs="Times New Roman"/>
          <w:snapToGrid w:val="0"/>
          <w:sz w:val="20"/>
          <w:szCs w:val="20"/>
          <w:lang w:val="es-ES_tradnl" w:eastAsia="en-US"/>
        </w:rPr>
        <w:t>27 de mayo de 2014.</w:t>
      </w:r>
    </w:p>
  </w:footnote>
  <w:footnote w:id="3">
    <w:p w:rsidR="0086786C" w:rsidRPr="00832571" w:rsidRDefault="0086786C" w:rsidP="00832571">
      <w:pPr>
        <w:pStyle w:val="FootnoteText"/>
        <w:rPr>
          <w:rFonts w:ascii="Times New Roman" w:hAnsi="Times New Roman" w:cs="Times New Roman"/>
        </w:rPr>
      </w:pPr>
      <w:r w:rsidRPr="00832571">
        <w:rPr>
          <w:rStyle w:val="FootnoteReference"/>
          <w:rFonts w:ascii="Times New Roman" w:hAnsi="Times New Roman" w:cs="Times New Roman"/>
        </w:rPr>
        <w:footnoteRef/>
      </w:r>
      <w:r w:rsidRPr="00832571">
        <w:rPr>
          <w:rFonts w:ascii="Times New Roman" w:hAnsi="Times New Roman" w:cs="Times New Roman"/>
        </w:rPr>
        <w:t xml:space="preserve"> </w:t>
      </w:r>
      <w:r w:rsidR="008378AA">
        <w:rPr>
          <w:rFonts w:ascii="Times New Roman" w:hAnsi="Times New Roman" w:cs="Times New Roman"/>
        </w:rPr>
        <w:t xml:space="preserve">Sistema de Indicadores. Respuesta del Estado de Costa Rica al MESECVI. </w:t>
      </w:r>
    </w:p>
    <w:p w:rsidR="0086786C" w:rsidRDefault="0086786C" w:rsidP="00832571">
      <w:pPr>
        <w:pStyle w:val="FootnoteText"/>
      </w:pP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A5D" w:rsidRDefault="00196A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86C" w:rsidRDefault="008678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A5D" w:rsidRDefault="00196A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5D323B"/>
    <w:multiLevelType w:val="hybridMultilevel"/>
    <w:tmpl w:val="A1E69DBA"/>
    <w:lvl w:ilvl="0" w:tplc="180A000F">
      <w:start w:val="1"/>
      <w:numFmt w:val="decimal"/>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
    <w:nsid w:val="0A842058"/>
    <w:multiLevelType w:val="hybridMultilevel"/>
    <w:tmpl w:val="5B2ABFD2"/>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02751A5"/>
    <w:multiLevelType w:val="hybridMultilevel"/>
    <w:tmpl w:val="EB3298B0"/>
    <w:lvl w:ilvl="0" w:tplc="180A000F">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5">
    <w:nsid w:val="293926CC"/>
    <w:multiLevelType w:val="hybridMultilevel"/>
    <w:tmpl w:val="2D08F43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6">
    <w:nsid w:val="32180024"/>
    <w:multiLevelType w:val="hybridMultilevel"/>
    <w:tmpl w:val="E0F46BAE"/>
    <w:lvl w:ilvl="0" w:tplc="B576E97C">
      <w:start w:val="1"/>
      <w:numFmt w:val="decimal"/>
      <w:lvlText w:val="%1."/>
      <w:lvlJc w:val="left"/>
      <w:pPr>
        <w:ind w:left="1065" w:hanging="705"/>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7">
    <w:nsid w:val="350B207D"/>
    <w:multiLevelType w:val="hybridMultilevel"/>
    <w:tmpl w:val="FFB0AFE4"/>
    <w:lvl w:ilvl="0" w:tplc="080A000F">
      <w:start w:val="3"/>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375185D"/>
    <w:multiLevelType w:val="hybridMultilevel"/>
    <w:tmpl w:val="FDB82B42"/>
    <w:lvl w:ilvl="0" w:tplc="A25895B6">
      <w:start w:val="2"/>
      <w:numFmt w:val="bullet"/>
      <w:lvlText w:val="-"/>
      <w:lvlJc w:val="left"/>
      <w:pPr>
        <w:ind w:left="720" w:hanging="360"/>
      </w:pPr>
      <w:rPr>
        <w:rFonts w:ascii="Times New Roman" w:eastAsiaTheme="minorEastAsia" w:hAnsi="Times New Roman" w:cs="Times New Roman"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F274327"/>
    <w:multiLevelType w:val="hybridMultilevel"/>
    <w:tmpl w:val="C002B026"/>
    <w:lvl w:ilvl="0" w:tplc="9C9C7B7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5B82C94"/>
    <w:multiLevelType w:val="hybridMultilevel"/>
    <w:tmpl w:val="D4E4C17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1">
    <w:nsid w:val="61A121FD"/>
    <w:multiLevelType w:val="hybridMultilevel"/>
    <w:tmpl w:val="51848E08"/>
    <w:lvl w:ilvl="0" w:tplc="180A000F">
      <w:start w:val="1"/>
      <w:numFmt w:val="decimal"/>
      <w:lvlText w:val="%1."/>
      <w:lvlJc w:val="left"/>
      <w:pPr>
        <w:ind w:left="2484" w:hanging="360"/>
      </w:pPr>
    </w:lvl>
    <w:lvl w:ilvl="1" w:tplc="180A0019" w:tentative="1">
      <w:start w:val="1"/>
      <w:numFmt w:val="lowerLetter"/>
      <w:lvlText w:val="%2."/>
      <w:lvlJc w:val="left"/>
      <w:pPr>
        <w:ind w:left="3204" w:hanging="360"/>
      </w:pPr>
    </w:lvl>
    <w:lvl w:ilvl="2" w:tplc="180A001B" w:tentative="1">
      <w:start w:val="1"/>
      <w:numFmt w:val="lowerRoman"/>
      <w:lvlText w:val="%3."/>
      <w:lvlJc w:val="right"/>
      <w:pPr>
        <w:ind w:left="3924" w:hanging="180"/>
      </w:pPr>
    </w:lvl>
    <w:lvl w:ilvl="3" w:tplc="180A000F" w:tentative="1">
      <w:start w:val="1"/>
      <w:numFmt w:val="decimal"/>
      <w:lvlText w:val="%4."/>
      <w:lvlJc w:val="left"/>
      <w:pPr>
        <w:ind w:left="4644" w:hanging="360"/>
      </w:pPr>
    </w:lvl>
    <w:lvl w:ilvl="4" w:tplc="180A0019" w:tentative="1">
      <w:start w:val="1"/>
      <w:numFmt w:val="lowerLetter"/>
      <w:lvlText w:val="%5."/>
      <w:lvlJc w:val="left"/>
      <w:pPr>
        <w:ind w:left="5364" w:hanging="360"/>
      </w:pPr>
    </w:lvl>
    <w:lvl w:ilvl="5" w:tplc="180A001B" w:tentative="1">
      <w:start w:val="1"/>
      <w:numFmt w:val="lowerRoman"/>
      <w:lvlText w:val="%6."/>
      <w:lvlJc w:val="right"/>
      <w:pPr>
        <w:ind w:left="6084" w:hanging="180"/>
      </w:pPr>
    </w:lvl>
    <w:lvl w:ilvl="6" w:tplc="180A000F" w:tentative="1">
      <w:start w:val="1"/>
      <w:numFmt w:val="decimal"/>
      <w:lvlText w:val="%7."/>
      <w:lvlJc w:val="left"/>
      <w:pPr>
        <w:ind w:left="6804" w:hanging="360"/>
      </w:pPr>
    </w:lvl>
    <w:lvl w:ilvl="7" w:tplc="180A0019" w:tentative="1">
      <w:start w:val="1"/>
      <w:numFmt w:val="lowerLetter"/>
      <w:lvlText w:val="%8."/>
      <w:lvlJc w:val="left"/>
      <w:pPr>
        <w:ind w:left="7524" w:hanging="360"/>
      </w:pPr>
    </w:lvl>
    <w:lvl w:ilvl="8" w:tplc="180A001B" w:tentative="1">
      <w:start w:val="1"/>
      <w:numFmt w:val="lowerRoman"/>
      <w:lvlText w:val="%9."/>
      <w:lvlJc w:val="right"/>
      <w:pPr>
        <w:ind w:left="8244" w:hanging="180"/>
      </w:pPr>
    </w:lvl>
  </w:abstractNum>
  <w:abstractNum w:abstractNumId="12">
    <w:nsid w:val="6C6358DC"/>
    <w:multiLevelType w:val="hybridMultilevel"/>
    <w:tmpl w:val="E4A8B484"/>
    <w:lvl w:ilvl="0" w:tplc="BF824EC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83C77D3"/>
    <w:multiLevelType w:val="hybridMultilevel"/>
    <w:tmpl w:val="99A4AE18"/>
    <w:lvl w:ilvl="0" w:tplc="4280752C">
      <w:numFmt w:val="bullet"/>
      <w:lvlText w:val="-"/>
      <w:lvlJc w:val="left"/>
      <w:pPr>
        <w:ind w:left="1440" w:hanging="360"/>
      </w:pPr>
      <w:rPr>
        <w:rFonts w:ascii="Arial" w:eastAsia="Times New Roman" w:hAnsi="Arial" w:cs="Arial" w:hint="default"/>
      </w:rPr>
    </w:lvl>
    <w:lvl w:ilvl="1" w:tplc="180A0003" w:tentative="1">
      <w:start w:val="1"/>
      <w:numFmt w:val="bullet"/>
      <w:lvlText w:val="o"/>
      <w:lvlJc w:val="left"/>
      <w:pPr>
        <w:ind w:left="2160" w:hanging="360"/>
      </w:pPr>
      <w:rPr>
        <w:rFonts w:ascii="Courier New" w:hAnsi="Courier New" w:cs="Courier New" w:hint="default"/>
      </w:rPr>
    </w:lvl>
    <w:lvl w:ilvl="2" w:tplc="180A0005" w:tentative="1">
      <w:start w:val="1"/>
      <w:numFmt w:val="bullet"/>
      <w:lvlText w:val=""/>
      <w:lvlJc w:val="left"/>
      <w:pPr>
        <w:ind w:left="2880" w:hanging="360"/>
      </w:pPr>
      <w:rPr>
        <w:rFonts w:ascii="Wingdings" w:hAnsi="Wingdings" w:hint="default"/>
      </w:rPr>
    </w:lvl>
    <w:lvl w:ilvl="3" w:tplc="180A0001" w:tentative="1">
      <w:start w:val="1"/>
      <w:numFmt w:val="bullet"/>
      <w:lvlText w:val=""/>
      <w:lvlJc w:val="left"/>
      <w:pPr>
        <w:ind w:left="3600" w:hanging="360"/>
      </w:pPr>
      <w:rPr>
        <w:rFonts w:ascii="Symbol" w:hAnsi="Symbol" w:hint="default"/>
      </w:rPr>
    </w:lvl>
    <w:lvl w:ilvl="4" w:tplc="180A0003" w:tentative="1">
      <w:start w:val="1"/>
      <w:numFmt w:val="bullet"/>
      <w:lvlText w:val="o"/>
      <w:lvlJc w:val="left"/>
      <w:pPr>
        <w:ind w:left="4320" w:hanging="360"/>
      </w:pPr>
      <w:rPr>
        <w:rFonts w:ascii="Courier New" w:hAnsi="Courier New" w:cs="Courier New" w:hint="default"/>
      </w:rPr>
    </w:lvl>
    <w:lvl w:ilvl="5" w:tplc="180A0005" w:tentative="1">
      <w:start w:val="1"/>
      <w:numFmt w:val="bullet"/>
      <w:lvlText w:val=""/>
      <w:lvlJc w:val="left"/>
      <w:pPr>
        <w:ind w:left="5040" w:hanging="360"/>
      </w:pPr>
      <w:rPr>
        <w:rFonts w:ascii="Wingdings" w:hAnsi="Wingdings" w:hint="default"/>
      </w:rPr>
    </w:lvl>
    <w:lvl w:ilvl="6" w:tplc="180A0001" w:tentative="1">
      <w:start w:val="1"/>
      <w:numFmt w:val="bullet"/>
      <w:lvlText w:val=""/>
      <w:lvlJc w:val="left"/>
      <w:pPr>
        <w:ind w:left="5760" w:hanging="360"/>
      </w:pPr>
      <w:rPr>
        <w:rFonts w:ascii="Symbol" w:hAnsi="Symbol" w:hint="default"/>
      </w:rPr>
    </w:lvl>
    <w:lvl w:ilvl="7" w:tplc="180A0003" w:tentative="1">
      <w:start w:val="1"/>
      <w:numFmt w:val="bullet"/>
      <w:lvlText w:val="o"/>
      <w:lvlJc w:val="left"/>
      <w:pPr>
        <w:ind w:left="6480" w:hanging="360"/>
      </w:pPr>
      <w:rPr>
        <w:rFonts w:ascii="Courier New" w:hAnsi="Courier New" w:cs="Courier New" w:hint="default"/>
      </w:rPr>
    </w:lvl>
    <w:lvl w:ilvl="8" w:tplc="180A0005" w:tentative="1">
      <w:start w:val="1"/>
      <w:numFmt w:val="bullet"/>
      <w:lvlText w:val=""/>
      <w:lvlJc w:val="left"/>
      <w:pPr>
        <w:ind w:left="7200" w:hanging="360"/>
      </w:pPr>
      <w:rPr>
        <w:rFonts w:ascii="Wingdings" w:hAnsi="Wingdings" w:hint="default"/>
      </w:rPr>
    </w:lvl>
  </w:abstractNum>
  <w:abstractNum w:abstractNumId="14">
    <w:nsid w:val="7A2E7F76"/>
    <w:multiLevelType w:val="hybridMultilevel"/>
    <w:tmpl w:val="4692C81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4"/>
  </w:num>
  <w:num w:numId="4">
    <w:abstractNumId w:val="2"/>
  </w:num>
  <w:num w:numId="5">
    <w:abstractNumId w:val="6"/>
  </w:num>
  <w:num w:numId="6">
    <w:abstractNumId w:val="10"/>
  </w:num>
  <w:num w:numId="7">
    <w:abstractNumId w:val="5"/>
  </w:num>
  <w:num w:numId="8">
    <w:abstractNumId w:val="14"/>
  </w:num>
  <w:num w:numId="9">
    <w:abstractNumId w:val="3"/>
  </w:num>
  <w:num w:numId="10">
    <w:abstractNumId w:val="12"/>
  </w:num>
  <w:num w:numId="11">
    <w:abstractNumId w:val="7"/>
  </w:num>
  <w:num w:numId="12">
    <w:abstractNumId w:val="8"/>
  </w:num>
  <w:num w:numId="13">
    <w:abstractNumId w:val="9"/>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A1BA0"/>
    <w:rsid w:val="00031764"/>
    <w:rsid w:val="0004168B"/>
    <w:rsid w:val="0004258A"/>
    <w:rsid w:val="00065492"/>
    <w:rsid w:val="0006665D"/>
    <w:rsid w:val="00070350"/>
    <w:rsid w:val="000939CE"/>
    <w:rsid w:val="00097128"/>
    <w:rsid w:val="000A40B1"/>
    <w:rsid w:val="000A6755"/>
    <w:rsid w:val="000C6868"/>
    <w:rsid w:val="000E03E6"/>
    <w:rsid w:val="000E2997"/>
    <w:rsid w:val="000F59A2"/>
    <w:rsid w:val="000F5AE3"/>
    <w:rsid w:val="00102196"/>
    <w:rsid w:val="00124C79"/>
    <w:rsid w:val="001250C4"/>
    <w:rsid w:val="001577A4"/>
    <w:rsid w:val="001744E6"/>
    <w:rsid w:val="001913ED"/>
    <w:rsid w:val="00196A5D"/>
    <w:rsid w:val="001D6029"/>
    <w:rsid w:val="00215884"/>
    <w:rsid w:val="00220B41"/>
    <w:rsid w:val="00231178"/>
    <w:rsid w:val="00234A1B"/>
    <w:rsid w:val="00266B83"/>
    <w:rsid w:val="002727D8"/>
    <w:rsid w:val="00275BD5"/>
    <w:rsid w:val="002E7A27"/>
    <w:rsid w:val="00334792"/>
    <w:rsid w:val="003455E9"/>
    <w:rsid w:val="00364003"/>
    <w:rsid w:val="00397958"/>
    <w:rsid w:val="003A42AB"/>
    <w:rsid w:val="003A73E9"/>
    <w:rsid w:val="003B46B8"/>
    <w:rsid w:val="003D17AF"/>
    <w:rsid w:val="003D58A6"/>
    <w:rsid w:val="003D6EFF"/>
    <w:rsid w:val="003E3815"/>
    <w:rsid w:val="00402723"/>
    <w:rsid w:val="004127E0"/>
    <w:rsid w:val="0041556A"/>
    <w:rsid w:val="00442457"/>
    <w:rsid w:val="00460324"/>
    <w:rsid w:val="004B511A"/>
    <w:rsid w:val="004D124C"/>
    <w:rsid w:val="004E6830"/>
    <w:rsid w:val="004F01D4"/>
    <w:rsid w:val="004F2BE7"/>
    <w:rsid w:val="004F4B40"/>
    <w:rsid w:val="004F62F2"/>
    <w:rsid w:val="005030D7"/>
    <w:rsid w:val="0053028F"/>
    <w:rsid w:val="00591C41"/>
    <w:rsid w:val="005A59BE"/>
    <w:rsid w:val="005B7048"/>
    <w:rsid w:val="005B7CE4"/>
    <w:rsid w:val="005D1472"/>
    <w:rsid w:val="005F14F7"/>
    <w:rsid w:val="005F28DB"/>
    <w:rsid w:val="006220C5"/>
    <w:rsid w:val="00662E5B"/>
    <w:rsid w:val="006952EA"/>
    <w:rsid w:val="006C100D"/>
    <w:rsid w:val="006C1F55"/>
    <w:rsid w:val="006C3D39"/>
    <w:rsid w:val="006C500C"/>
    <w:rsid w:val="006D32CB"/>
    <w:rsid w:val="006D4939"/>
    <w:rsid w:val="006F6EF8"/>
    <w:rsid w:val="00720B64"/>
    <w:rsid w:val="007226E3"/>
    <w:rsid w:val="00722A34"/>
    <w:rsid w:val="00724442"/>
    <w:rsid w:val="00737447"/>
    <w:rsid w:val="0076794F"/>
    <w:rsid w:val="00775872"/>
    <w:rsid w:val="00777F7A"/>
    <w:rsid w:val="007918A3"/>
    <w:rsid w:val="00796F09"/>
    <w:rsid w:val="007A65BB"/>
    <w:rsid w:val="007B0A25"/>
    <w:rsid w:val="00832571"/>
    <w:rsid w:val="008378AA"/>
    <w:rsid w:val="00850EB9"/>
    <w:rsid w:val="00865D40"/>
    <w:rsid w:val="0086786C"/>
    <w:rsid w:val="00881D2D"/>
    <w:rsid w:val="00885828"/>
    <w:rsid w:val="008A7984"/>
    <w:rsid w:val="008B6A77"/>
    <w:rsid w:val="008C297D"/>
    <w:rsid w:val="008F7580"/>
    <w:rsid w:val="009356B6"/>
    <w:rsid w:val="00945FB9"/>
    <w:rsid w:val="00961A4D"/>
    <w:rsid w:val="00962400"/>
    <w:rsid w:val="00972BE6"/>
    <w:rsid w:val="00976CE9"/>
    <w:rsid w:val="00985665"/>
    <w:rsid w:val="009A0465"/>
    <w:rsid w:val="009D44EE"/>
    <w:rsid w:val="009E068C"/>
    <w:rsid w:val="009E6483"/>
    <w:rsid w:val="009F1779"/>
    <w:rsid w:val="00A04EBD"/>
    <w:rsid w:val="00A11D80"/>
    <w:rsid w:val="00A14458"/>
    <w:rsid w:val="00A176BB"/>
    <w:rsid w:val="00A374EE"/>
    <w:rsid w:val="00A54980"/>
    <w:rsid w:val="00A81428"/>
    <w:rsid w:val="00A96BE7"/>
    <w:rsid w:val="00AA1A51"/>
    <w:rsid w:val="00AB77FE"/>
    <w:rsid w:val="00AE20E3"/>
    <w:rsid w:val="00B01097"/>
    <w:rsid w:val="00B11050"/>
    <w:rsid w:val="00B20ED2"/>
    <w:rsid w:val="00B25F31"/>
    <w:rsid w:val="00B554E7"/>
    <w:rsid w:val="00B703E0"/>
    <w:rsid w:val="00B7334F"/>
    <w:rsid w:val="00B90CEC"/>
    <w:rsid w:val="00B96F09"/>
    <w:rsid w:val="00BA1BA0"/>
    <w:rsid w:val="00BC3108"/>
    <w:rsid w:val="00BC3740"/>
    <w:rsid w:val="00BC4ADA"/>
    <w:rsid w:val="00BF11EA"/>
    <w:rsid w:val="00C06C38"/>
    <w:rsid w:val="00C267A7"/>
    <w:rsid w:val="00C272F7"/>
    <w:rsid w:val="00C31F04"/>
    <w:rsid w:val="00C37A2E"/>
    <w:rsid w:val="00C47DF7"/>
    <w:rsid w:val="00C71634"/>
    <w:rsid w:val="00C810B0"/>
    <w:rsid w:val="00C81D06"/>
    <w:rsid w:val="00C95FC1"/>
    <w:rsid w:val="00C96425"/>
    <w:rsid w:val="00CA2F23"/>
    <w:rsid w:val="00CB20BE"/>
    <w:rsid w:val="00CB61B4"/>
    <w:rsid w:val="00CD656B"/>
    <w:rsid w:val="00CD7E72"/>
    <w:rsid w:val="00D03B73"/>
    <w:rsid w:val="00D27208"/>
    <w:rsid w:val="00D52176"/>
    <w:rsid w:val="00D63A9F"/>
    <w:rsid w:val="00D65BED"/>
    <w:rsid w:val="00D866D1"/>
    <w:rsid w:val="00D92E41"/>
    <w:rsid w:val="00D93069"/>
    <w:rsid w:val="00D9535B"/>
    <w:rsid w:val="00DB0490"/>
    <w:rsid w:val="00DD4015"/>
    <w:rsid w:val="00E02FA1"/>
    <w:rsid w:val="00E227E5"/>
    <w:rsid w:val="00E632DC"/>
    <w:rsid w:val="00E72D6D"/>
    <w:rsid w:val="00E734BE"/>
    <w:rsid w:val="00E73DFA"/>
    <w:rsid w:val="00E76CC5"/>
    <w:rsid w:val="00E945A5"/>
    <w:rsid w:val="00E95240"/>
    <w:rsid w:val="00EB0DD7"/>
    <w:rsid w:val="00EC164D"/>
    <w:rsid w:val="00EE20A0"/>
    <w:rsid w:val="00EE3AAA"/>
    <w:rsid w:val="00F5457C"/>
    <w:rsid w:val="00F731D8"/>
    <w:rsid w:val="00F82769"/>
    <w:rsid w:val="00F8421E"/>
    <w:rsid w:val="00FE4B1D"/>
  </w:rsids>
  <m:mathPr>
    <m:mathFont m:val="Cambria Math"/>
    <m:brkBin m:val="before"/>
    <m:brkBinSub m:val="--"/>
    <m:smallFrac/>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1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BA0"/>
    <w:pPr>
      <w:ind w:left="720"/>
      <w:contextualSpacing/>
    </w:pPr>
  </w:style>
  <w:style w:type="paragraph" w:styleId="FootnoteText">
    <w:name w:val="footnote text"/>
    <w:basedOn w:val="Normal"/>
    <w:link w:val="FootnoteTextChar"/>
    <w:uiPriority w:val="99"/>
    <w:semiHidden/>
    <w:unhideWhenUsed/>
    <w:rsid w:val="00C267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7A7"/>
    <w:rPr>
      <w:rFonts w:eastAsiaTheme="minorEastAsia"/>
      <w:sz w:val="20"/>
      <w:szCs w:val="20"/>
      <w:lang w:eastAsia="es-PA"/>
    </w:rPr>
  </w:style>
  <w:style w:type="character" w:styleId="FootnoteReference">
    <w:name w:val="footnote reference"/>
    <w:basedOn w:val="DefaultParagraphFont"/>
    <w:uiPriority w:val="99"/>
    <w:semiHidden/>
    <w:unhideWhenUsed/>
    <w:rsid w:val="00C267A7"/>
    <w:rPr>
      <w:vertAlign w:val="superscript"/>
    </w:rPr>
  </w:style>
  <w:style w:type="paragraph" w:styleId="Header">
    <w:name w:val="header"/>
    <w:basedOn w:val="Normal"/>
    <w:link w:val="HeaderChar"/>
    <w:uiPriority w:val="99"/>
    <w:unhideWhenUsed/>
    <w:rsid w:val="00E76CC5"/>
    <w:pPr>
      <w:tabs>
        <w:tab w:val="center" w:pos="4419"/>
        <w:tab w:val="right" w:pos="8838"/>
      </w:tabs>
      <w:spacing w:after="0" w:line="240" w:lineRule="auto"/>
    </w:pPr>
  </w:style>
  <w:style w:type="character" w:customStyle="1" w:styleId="HeaderChar">
    <w:name w:val="Header Char"/>
    <w:basedOn w:val="DefaultParagraphFont"/>
    <w:link w:val="Header"/>
    <w:uiPriority w:val="99"/>
    <w:rsid w:val="00E76CC5"/>
    <w:rPr>
      <w:rFonts w:eastAsiaTheme="minorEastAsia"/>
      <w:lang w:eastAsia="es-PA"/>
    </w:rPr>
  </w:style>
  <w:style w:type="paragraph" w:styleId="Footer">
    <w:name w:val="footer"/>
    <w:basedOn w:val="Normal"/>
    <w:link w:val="FooterChar"/>
    <w:uiPriority w:val="99"/>
    <w:unhideWhenUsed/>
    <w:rsid w:val="00E76C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E76CC5"/>
    <w:rPr>
      <w:rFonts w:eastAsiaTheme="minorEastAsia"/>
      <w:lang w:eastAsia="es-PA"/>
    </w:rPr>
  </w:style>
  <w:style w:type="paragraph" w:styleId="NormalWeb">
    <w:name w:val="Normal (Web)"/>
    <w:basedOn w:val="Normal"/>
    <w:uiPriority w:val="99"/>
    <w:rsid w:val="00832571"/>
    <w:pPr>
      <w:spacing w:before="100" w:beforeAutospacing="1" w:after="100" w:afterAutospacing="1" w:line="240" w:lineRule="auto"/>
    </w:pPr>
    <w:rPr>
      <w:rFonts w:ascii="Times New Roman" w:eastAsia="Calibri" w:hAnsi="Times New Roman" w:cs="Times New Roman"/>
      <w:sz w:val="24"/>
      <w:szCs w:val="24"/>
      <w:lang w:val="es-ES_tradnl"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0F479-3B7B-4114-90A3-4B098088D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37</Pages>
  <Words>14873</Words>
  <Characters>84777</Characters>
  <Application>Microsoft Office Word</Application>
  <DocSecurity>0</DocSecurity>
  <Lines>706</Lines>
  <Paragraphs>198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EGarcia</cp:lastModifiedBy>
  <cp:revision>16</cp:revision>
  <dcterms:created xsi:type="dcterms:W3CDTF">2014-10-08T18:47:00Z</dcterms:created>
  <dcterms:modified xsi:type="dcterms:W3CDTF">2014-12-05T17:52:00Z</dcterms:modified>
</cp:coreProperties>
</file>